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6DBC" w:rsidRPr="008A36BA" w:rsidRDefault="00DC6DBC" w:rsidP="00DC6DBC">
      <w:pPr>
        <w:jc w:val="both"/>
        <w:rPr>
          <w:sz w:val="28"/>
          <w:szCs w:val="28"/>
        </w:rPr>
      </w:pPr>
      <w:r w:rsidRPr="008A36BA">
        <w:rPr>
          <w:b/>
          <w:sz w:val="28"/>
          <w:szCs w:val="28"/>
        </w:rPr>
        <w:t>Technical study on 4 MHz of frequency separation (guard band) for the DT</w:t>
      </w:r>
      <w:r w:rsidR="00521556" w:rsidRPr="008A36BA">
        <w:rPr>
          <w:b/>
          <w:sz w:val="28"/>
          <w:szCs w:val="28"/>
        </w:rPr>
        <w:t>T</w:t>
      </w:r>
      <w:r w:rsidR="00DE5960" w:rsidRPr="008A36BA">
        <w:rPr>
          <w:b/>
          <w:sz w:val="28"/>
          <w:szCs w:val="28"/>
        </w:rPr>
        <w:t xml:space="preserve"> transmitter</w:t>
      </w:r>
      <w:r w:rsidR="00E67003" w:rsidRPr="008A36BA">
        <w:rPr>
          <w:b/>
          <w:sz w:val="28"/>
          <w:szCs w:val="28"/>
        </w:rPr>
        <w:t xml:space="preserve"> </w:t>
      </w:r>
      <w:r w:rsidRPr="008A36BA">
        <w:rPr>
          <w:b/>
          <w:sz w:val="28"/>
          <w:szCs w:val="28"/>
        </w:rPr>
        <w:t>into mobile</w:t>
      </w:r>
      <w:r w:rsidR="00DE5960" w:rsidRPr="008A36BA">
        <w:rPr>
          <w:b/>
          <w:sz w:val="28"/>
          <w:szCs w:val="28"/>
        </w:rPr>
        <w:t xml:space="preserve"> receiver</w:t>
      </w:r>
      <w:r w:rsidRPr="008A36BA">
        <w:rPr>
          <w:b/>
          <w:sz w:val="28"/>
          <w:szCs w:val="28"/>
        </w:rPr>
        <w:t xml:space="preserve"> </w:t>
      </w:r>
      <w:r w:rsidR="00C807D2" w:rsidRPr="008A36BA">
        <w:rPr>
          <w:b/>
          <w:sz w:val="28"/>
          <w:szCs w:val="28"/>
        </w:rPr>
        <w:t>co-existence scenario</w:t>
      </w:r>
    </w:p>
    <w:p w:rsidR="00EC249E" w:rsidRPr="008A36BA" w:rsidRDefault="00EC249E" w:rsidP="00E5341E">
      <w:pPr>
        <w:spacing w:after="120"/>
        <w:jc w:val="both"/>
        <w:rPr>
          <w:b/>
        </w:rPr>
      </w:pPr>
    </w:p>
    <w:p w:rsidR="00DC6DBC" w:rsidRPr="008A36BA" w:rsidRDefault="00060EEC" w:rsidP="00E94EBF">
      <w:pPr>
        <w:pStyle w:val="ListParagraph"/>
        <w:numPr>
          <w:ilvl w:val="0"/>
          <w:numId w:val="36"/>
        </w:numPr>
        <w:spacing w:after="120"/>
        <w:jc w:val="both"/>
        <w:rPr>
          <w:b/>
          <w:sz w:val="28"/>
          <w:szCs w:val="28"/>
        </w:rPr>
      </w:pPr>
      <w:r w:rsidRPr="008A36BA">
        <w:rPr>
          <w:b/>
          <w:sz w:val="28"/>
          <w:szCs w:val="28"/>
        </w:rPr>
        <w:t>Overview</w:t>
      </w:r>
    </w:p>
    <w:p w:rsidR="004D30AD" w:rsidRPr="008A36BA" w:rsidRDefault="00DC6DBC" w:rsidP="00E5341E">
      <w:pPr>
        <w:spacing w:after="120"/>
        <w:jc w:val="both"/>
      </w:pPr>
      <w:r w:rsidRPr="008A36BA">
        <w:t>Previous studies performed for north America</w:t>
      </w:r>
      <w:r w:rsidR="00DE5960" w:rsidRPr="008A36BA">
        <w:t xml:space="preserve"> usage</w:t>
      </w:r>
      <w:r w:rsidRPr="008A36BA">
        <w:t xml:space="preserve"> </w:t>
      </w:r>
      <w:r w:rsidR="0066761C" w:rsidRPr="008A36BA">
        <w:t xml:space="preserve">in </w:t>
      </w:r>
      <w:hyperlink r:id="rId8" w:history="1">
        <w:r w:rsidR="0066761C" w:rsidRPr="008A36BA">
          <w:rPr>
            <w:rStyle w:val="Hyperlink"/>
          </w:rPr>
          <w:t>3GPP TR 36</w:t>
        </w:r>
        <w:r w:rsidR="00CD0363" w:rsidRPr="008A36BA">
          <w:rPr>
            <w:rStyle w:val="Hyperlink"/>
          </w:rPr>
          <w:t>.</w:t>
        </w:r>
        <w:r w:rsidR="0066761C" w:rsidRPr="008A36BA">
          <w:rPr>
            <w:rStyle w:val="Hyperlink"/>
          </w:rPr>
          <w:t>755</w:t>
        </w:r>
      </w:hyperlink>
      <w:r w:rsidR="0066761C" w:rsidRPr="008A36BA">
        <w:t xml:space="preserve"> </w:t>
      </w:r>
      <w:r w:rsidRPr="008A36BA">
        <w:t xml:space="preserve">found that a </w:t>
      </w:r>
      <w:r w:rsidR="0066761C" w:rsidRPr="008A36BA">
        <w:t>7</w:t>
      </w:r>
      <w:r w:rsidRPr="008A36BA">
        <w:t xml:space="preserve"> MHz guard band was </w:t>
      </w:r>
      <w:r w:rsidR="00CD0363" w:rsidRPr="008A36BA">
        <w:t>needed</w:t>
      </w:r>
      <w:r w:rsidRPr="008A36BA">
        <w:t xml:space="preserve"> for mobile</w:t>
      </w:r>
      <w:r w:rsidR="00CD0363" w:rsidRPr="008A36BA">
        <w:t xml:space="preserve"> user equipment</w:t>
      </w:r>
      <w:r w:rsidRPr="008A36BA">
        <w:t xml:space="preserve"> to operate in the presence of DT</w:t>
      </w:r>
      <w:r w:rsidR="00521556" w:rsidRPr="008A36BA">
        <w:t>T</w:t>
      </w:r>
      <w:r w:rsidR="00327806" w:rsidRPr="008A36BA">
        <w:t xml:space="preserve"> transmitters</w:t>
      </w:r>
      <w:r w:rsidRPr="008A36BA">
        <w:t xml:space="preserve"> without interference. This analysis considered the spectrum environment in </w:t>
      </w:r>
      <w:r w:rsidR="00BF397C" w:rsidRPr="008A36BA">
        <w:t>n</w:t>
      </w:r>
      <w:r w:rsidRPr="008A36BA">
        <w:t xml:space="preserve">orth America and the mobile filter / duplexer characteristics available at that time. An analysis that is more specific to the APT spectrum environment taking into account the latest mobile filter / duplexer characteristics is desirable. It is important to minimise frequency separations (guard bands) and the </w:t>
      </w:r>
      <w:r w:rsidR="00060EEC" w:rsidRPr="008A36BA">
        <w:t>potential impact on the number of DT</w:t>
      </w:r>
      <w:r w:rsidR="00521556" w:rsidRPr="008A36BA">
        <w:t>T</w:t>
      </w:r>
      <w:r w:rsidR="00060EEC" w:rsidRPr="008A36BA">
        <w:t xml:space="preserve"> channels available in a geographic area.</w:t>
      </w:r>
      <w:r w:rsidR="00E8064B" w:rsidRPr="008A36BA">
        <w:t xml:space="preserve"> This study looks at the possibility and impact of reducing the frequency separation (guard band) from 7</w:t>
      </w:r>
      <w:r w:rsidR="00A121E0">
        <w:t> </w:t>
      </w:r>
      <w:r w:rsidR="00E8064B" w:rsidRPr="008A36BA">
        <w:t>MHz to 4</w:t>
      </w:r>
      <w:r w:rsidR="00A121E0">
        <w:t> </w:t>
      </w:r>
      <w:r w:rsidR="00E8064B" w:rsidRPr="008A36BA">
        <w:t>MHz.</w:t>
      </w:r>
      <w:r w:rsidR="00A715D9" w:rsidRPr="008A36BA">
        <w:t xml:space="preserve"> It is unlikely that smaller frequency separations (guard bands) such as 2</w:t>
      </w:r>
      <w:r w:rsidR="00A121E0">
        <w:t> </w:t>
      </w:r>
      <w:r w:rsidR="00A715D9" w:rsidRPr="008A36BA">
        <w:t>MHz would be possible as the duplex filter would not have sufficient roll off / attenuation</w:t>
      </w:r>
      <w:r w:rsidR="00085B26" w:rsidRPr="008A36BA">
        <w:t xml:space="preserve"> with this frequency offset</w:t>
      </w:r>
      <w:r w:rsidR="00A715D9" w:rsidRPr="008A36BA">
        <w:t xml:space="preserve">. </w:t>
      </w:r>
    </w:p>
    <w:p w:rsidR="00060EEC" w:rsidRPr="008A36BA" w:rsidRDefault="00060EEC" w:rsidP="00E5341E">
      <w:pPr>
        <w:spacing w:after="120"/>
        <w:jc w:val="both"/>
      </w:pPr>
    </w:p>
    <w:p w:rsidR="00C807D2" w:rsidRPr="008A36BA" w:rsidRDefault="00C807D2" w:rsidP="00C807D2">
      <w:pPr>
        <w:spacing w:after="120"/>
        <w:jc w:val="both"/>
      </w:pPr>
      <w:r w:rsidRPr="008A36BA">
        <w:rPr>
          <w:noProof/>
        </w:rPr>
        <w:drawing>
          <wp:inline distT="0" distB="0" distL="0" distR="0" wp14:anchorId="1B91BD4D" wp14:editId="4117EC98">
            <wp:extent cx="5974715" cy="16643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1664335"/>
                    </a:xfrm>
                    <a:prstGeom prst="rect">
                      <a:avLst/>
                    </a:prstGeom>
                    <a:noFill/>
                  </pic:spPr>
                </pic:pic>
              </a:graphicData>
            </a:graphic>
          </wp:inline>
        </w:drawing>
      </w:r>
    </w:p>
    <w:p w:rsidR="00C807D2" w:rsidRPr="008A36BA" w:rsidRDefault="00C807D2" w:rsidP="00C807D2">
      <w:pPr>
        <w:jc w:val="center"/>
        <w:rPr>
          <w:b/>
          <w:bCs/>
        </w:rPr>
      </w:pPr>
      <w:r w:rsidRPr="008A36BA">
        <w:rPr>
          <w:b/>
          <w:bCs/>
        </w:rPr>
        <w:t>Figure A1</w:t>
      </w:r>
      <w:r w:rsidR="005E0349" w:rsidRPr="008A36BA">
        <w:rPr>
          <w:b/>
        </w:rPr>
        <w:t xml:space="preserve"> – </w:t>
      </w:r>
      <w:r w:rsidRPr="008A36BA">
        <w:rPr>
          <w:b/>
          <w:bCs/>
        </w:rPr>
        <w:t xml:space="preserve">4 MHz </w:t>
      </w:r>
      <w:r w:rsidRPr="008A36BA">
        <w:rPr>
          <w:rFonts w:eastAsiaTheme="minorHAnsi"/>
          <w:b/>
          <w:bCs/>
          <w:sz w:val="22"/>
          <w:szCs w:val="22"/>
        </w:rPr>
        <w:t xml:space="preserve">Frequency Separation (Guard band) </w:t>
      </w:r>
      <w:r w:rsidRPr="008A36BA">
        <w:rPr>
          <w:b/>
          <w:bCs/>
        </w:rPr>
        <w:t>DTT channel impact on APT 600 MHz options for 6/7/8 MHz raster/channel spacings</w:t>
      </w:r>
    </w:p>
    <w:p w:rsidR="00060EEC" w:rsidRPr="008A36BA" w:rsidRDefault="00060EEC" w:rsidP="00E5341E">
      <w:pPr>
        <w:spacing w:after="120"/>
        <w:jc w:val="both"/>
      </w:pPr>
    </w:p>
    <w:p w:rsidR="002E3A78" w:rsidRPr="008A36BA" w:rsidRDefault="002E3A78" w:rsidP="00E94EBF">
      <w:pPr>
        <w:pStyle w:val="ListParagraph"/>
        <w:numPr>
          <w:ilvl w:val="0"/>
          <w:numId w:val="36"/>
        </w:numPr>
        <w:spacing w:after="120"/>
        <w:jc w:val="both"/>
        <w:rPr>
          <w:b/>
          <w:sz w:val="28"/>
          <w:szCs w:val="28"/>
        </w:rPr>
      </w:pPr>
      <w:r w:rsidRPr="008A36BA">
        <w:rPr>
          <w:b/>
          <w:sz w:val="28"/>
          <w:szCs w:val="28"/>
        </w:rPr>
        <w:t xml:space="preserve">Technical Characteristics and </w:t>
      </w:r>
      <w:r w:rsidR="00E8064B" w:rsidRPr="008A36BA">
        <w:rPr>
          <w:b/>
          <w:sz w:val="28"/>
          <w:szCs w:val="28"/>
        </w:rPr>
        <w:t>parameters</w:t>
      </w:r>
    </w:p>
    <w:p w:rsidR="002E3A78" w:rsidRPr="008A36BA" w:rsidRDefault="002E3A78" w:rsidP="002E3A78">
      <w:pPr>
        <w:spacing w:after="120"/>
        <w:jc w:val="both"/>
      </w:pPr>
      <w:r w:rsidRPr="008A36BA">
        <w:t>The co-existence scenario of DT</w:t>
      </w:r>
      <w:r w:rsidR="00521556" w:rsidRPr="008A36BA">
        <w:t>T</w:t>
      </w:r>
      <w:r w:rsidRPr="008A36BA">
        <w:t xml:space="preserve"> transmission into the mobile</w:t>
      </w:r>
      <w:r w:rsidR="00521556" w:rsidRPr="008A36BA">
        <w:t xml:space="preserve"> user equipment</w:t>
      </w:r>
      <w:r w:rsidRPr="008A36BA">
        <w:t xml:space="preserve"> </w:t>
      </w:r>
      <w:r w:rsidR="00521556" w:rsidRPr="008A36BA">
        <w:t>(</w:t>
      </w:r>
      <w:r w:rsidRPr="008A36BA">
        <w:t>UE</w:t>
      </w:r>
      <w:r w:rsidR="00521556" w:rsidRPr="008A36BA">
        <w:t>)</w:t>
      </w:r>
      <w:r w:rsidRPr="008A36BA">
        <w:t xml:space="preserve"> receive band is considered with transmission in the necessary DT</w:t>
      </w:r>
      <w:r w:rsidR="00521556" w:rsidRPr="008A36BA">
        <w:t>T</w:t>
      </w:r>
      <w:r w:rsidRPr="008A36BA">
        <w:t xml:space="preserve"> channels applicable to the APT region. These are shown in Figure </w:t>
      </w:r>
      <w:r w:rsidR="003B282D" w:rsidRPr="008A36BA">
        <w:t>A1</w:t>
      </w:r>
      <w:r w:rsidRPr="008A36BA">
        <w:t xml:space="preserve">. From the mobile band plan options presented in 3GPP TR 38.860, studies were conducted for </w:t>
      </w:r>
      <w:r w:rsidRPr="008A36BA">
        <w:rPr>
          <w:i/>
          <w:iCs/>
        </w:rPr>
        <w:t>two</w:t>
      </w:r>
      <w:r w:rsidRPr="008A36BA">
        <w:t xml:space="preserve"> options: (1) Option B1: Full band</w:t>
      </w:r>
      <w:r w:rsidR="003C2F7A" w:rsidRPr="008A36BA">
        <w:t xml:space="preserve"> duplexer</w:t>
      </w:r>
      <w:r w:rsidRPr="008A36BA">
        <w:t>; (2) B2: 35 + 35 MHz</w:t>
      </w:r>
      <w:r w:rsidR="003C2F7A" w:rsidRPr="008A36BA">
        <w:t xml:space="preserve"> dual duplexers</w:t>
      </w:r>
      <w:r w:rsidRPr="008A36BA">
        <w:t xml:space="preserve">. Table </w:t>
      </w:r>
      <w:r w:rsidR="003C2F7A" w:rsidRPr="008A36BA">
        <w:t>A1</w:t>
      </w:r>
      <w:r w:rsidRPr="008A36BA">
        <w:t xml:space="preserve"> </w:t>
      </w:r>
      <w:r w:rsidR="00B130A8" w:rsidRPr="008A36BA">
        <w:t xml:space="preserve">shows </w:t>
      </w:r>
      <w:r w:rsidRPr="008A36BA">
        <w:t>a breakdown of each option along with the relevant DT</w:t>
      </w:r>
      <w:r w:rsidR="00521556" w:rsidRPr="008A36BA">
        <w:t>T</w:t>
      </w:r>
      <w:r w:rsidRPr="008A36BA">
        <w:t xml:space="preserve"> and mobile frequency </w:t>
      </w:r>
      <w:r w:rsidRPr="008A36BA">
        <w:rPr>
          <w:i/>
          <w:iCs/>
        </w:rPr>
        <w:t>bands for a guard band of 4 MHz</w:t>
      </w:r>
      <w:r w:rsidR="003C2F7A" w:rsidRPr="008A36BA">
        <w:rPr>
          <w:i/>
          <w:iCs/>
        </w:rPr>
        <w:t>.</w:t>
      </w:r>
      <w:r w:rsidRPr="008A36BA">
        <w:t xml:space="preserve"> </w:t>
      </w:r>
    </w:p>
    <w:p w:rsidR="00521556" w:rsidRPr="008A36BA" w:rsidRDefault="00521556" w:rsidP="002E3A78">
      <w:pPr>
        <w:spacing w:after="120"/>
        <w:jc w:val="both"/>
      </w:pPr>
    </w:p>
    <w:p w:rsidR="002E3A78" w:rsidRPr="008A36BA" w:rsidRDefault="002E3A78" w:rsidP="002E3A78">
      <w:pPr>
        <w:spacing w:after="120"/>
        <w:jc w:val="center"/>
        <w:rPr>
          <w:b/>
        </w:rPr>
      </w:pPr>
      <w:r w:rsidRPr="008A36BA">
        <w:rPr>
          <w:b/>
        </w:rPr>
        <w:t xml:space="preserve">Table </w:t>
      </w:r>
      <w:r w:rsidR="003B282D" w:rsidRPr="008A36BA">
        <w:rPr>
          <w:b/>
        </w:rPr>
        <w:t>A1</w:t>
      </w:r>
      <w:r w:rsidRPr="008A36BA">
        <w:rPr>
          <w:b/>
        </w:rPr>
        <w:t xml:space="preserve"> – Options and cases evaluated for DT</w:t>
      </w:r>
      <w:r w:rsidR="00521556" w:rsidRPr="008A36BA">
        <w:rPr>
          <w:b/>
        </w:rPr>
        <w:t>T</w:t>
      </w:r>
      <w:r w:rsidRPr="008A36BA">
        <w:rPr>
          <w:b/>
        </w:rPr>
        <w:t xml:space="preserve"> and mobile co-existence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979"/>
        <w:gridCol w:w="2406"/>
      </w:tblGrid>
      <w:tr w:rsidR="00C807D2" w:rsidRPr="008A36BA" w:rsidTr="00E94EBF">
        <w:trPr>
          <w:cantSplit/>
          <w:tblHeader/>
          <w:jc w:val="center"/>
        </w:trPr>
        <w:tc>
          <w:tcPr>
            <w:tcW w:w="29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807D2" w:rsidRPr="008A36BA" w:rsidRDefault="00C807D2" w:rsidP="0072607F">
            <w:pPr>
              <w:pStyle w:val="Tablehead"/>
              <w:rPr>
                <w:lang w:val="en-NZ" w:eastAsia="en-GB"/>
              </w:rPr>
            </w:pPr>
            <w:r w:rsidRPr="008A36BA">
              <w:rPr>
                <w:lang w:val="en-NZ" w:eastAsia="en-GB"/>
              </w:rPr>
              <w:t>Option</w:t>
            </w:r>
          </w:p>
        </w:tc>
        <w:tc>
          <w:tcPr>
            <w:tcW w:w="29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807D2" w:rsidRPr="008A36BA" w:rsidRDefault="00C807D2" w:rsidP="0072607F">
            <w:pPr>
              <w:pStyle w:val="Tablehead"/>
              <w:rPr>
                <w:lang w:val="en-NZ" w:eastAsia="en-GB"/>
              </w:rPr>
            </w:pPr>
            <w:r w:rsidRPr="008A36BA">
              <w:rPr>
                <w:lang w:val="en-NZ" w:eastAsia="en-GB"/>
              </w:rPr>
              <w:t>DL DTT channel style/band</w:t>
            </w:r>
          </w:p>
        </w:tc>
        <w:tc>
          <w:tcPr>
            <w:tcW w:w="24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07D2" w:rsidRPr="008A36BA" w:rsidRDefault="00C807D2" w:rsidP="0072607F">
            <w:pPr>
              <w:pStyle w:val="Tablehead"/>
              <w:rPr>
                <w:lang w:val="en-NZ" w:eastAsia="en-GB"/>
              </w:rPr>
            </w:pPr>
            <w:r w:rsidRPr="008A36BA">
              <w:rPr>
                <w:lang w:val="en-NZ" w:eastAsia="en-GB"/>
              </w:rPr>
              <w:t xml:space="preserve">DL mobile </w:t>
            </w:r>
          </w:p>
        </w:tc>
      </w:tr>
      <w:tr w:rsidR="00C807D2" w:rsidRPr="008A36BA" w:rsidTr="00E94EBF">
        <w:trPr>
          <w:trHeight w:val="195"/>
          <w:jc w:val="center"/>
        </w:trPr>
        <w:tc>
          <w:tcPr>
            <w:tcW w:w="2970" w:type="dxa"/>
            <w:vMerge w:val="restart"/>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lang w:val="en-NZ"/>
              </w:rPr>
            </w:pPr>
            <w:r w:rsidRPr="008A36BA">
              <w:rPr>
                <w:lang w:val="en-NZ"/>
              </w:rPr>
              <w:t>B1: 40 MHz Full Band duplexer</w:t>
            </w:r>
          </w:p>
        </w:tc>
        <w:tc>
          <w:tcPr>
            <w:tcW w:w="2979" w:type="dxa"/>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b/>
                <w:bCs/>
                <w:lang w:val="en-NZ"/>
              </w:rPr>
            </w:pPr>
            <w:r w:rsidRPr="008A36BA">
              <w:rPr>
                <w:b/>
                <w:bCs/>
                <w:lang w:val="en-NZ"/>
              </w:rPr>
              <w:t xml:space="preserve">6 MHz Channel Raster/Spacing </w:t>
            </w:r>
          </w:p>
          <w:p w:rsidR="00C807D2" w:rsidRPr="008A36BA" w:rsidRDefault="00C807D2" w:rsidP="0072607F">
            <w:pPr>
              <w:pStyle w:val="Tabletext"/>
              <w:jc w:val="center"/>
              <w:rPr>
                <w:lang w:val="en-NZ"/>
              </w:rPr>
            </w:pPr>
            <w:r w:rsidRPr="008A36BA">
              <w:rPr>
                <w:lang w:val="en-NZ"/>
              </w:rPr>
              <w:t xml:space="preserve">596-602 MHz (CH 35) </w:t>
            </w:r>
          </w:p>
        </w:tc>
        <w:tc>
          <w:tcPr>
            <w:tcW w:w="2406" w:type="dxa"/>
            <w:vMerge w:val="restart"/>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lang w:val="en-NZ"/>
              </w:rPr>
            </w:pPr>
            <w:r w:rsidRPr="008A36BA">
              <w:rPr>
                <w:lang w:val="en-NZ"/>
              </w:rPr>
              <w:t xml:space="preserve">612-652 MHz </w:t>
            </w:r>
          </w:p>
        </w:tc>
      </w:tr>
      <w:tr w:rsidR="00C807D2" w:rsidRPr="008A36BA" w:rsidTr="00E94EBF">
        <w:trPr>
          <w:trHeight w:val="195"/>
          <w:jc w:val="center"/>
        </w:trPr>
        <w:tc>
          <w:tcPr>
            <w:tcW w:w="2970" w:type="dxa"/>
            <w:vMerge/>
            <w:tcBorders>
              <w:top w:val="single" w:sz="4" w:space="0" w:color="auto"/>
              <w:left w:val="single" w:sz="4" w:space="0" w:color="auto"/>
              <w:bottom w:val="single" w:sz="4" w:space="0" w:color="auto"/>
              <w:right w:val="single" w:sz="4" w:space="0" w:color="auto"/>
            </w:tcBorders>
            <w:vAlign w:val="center"/>
            <w:hideMark/>
          </w:tcPr>
          <w:p w:rsidR="00C807D2" w:rsidRPr="008A36BA" w:rsidRDefault="00C807D2" w:rsidP="0072607F">
            <w:pPr>
              <w:rPr>
                <w:rFonts w:eastAsia="Times New Roman"/>
                <w:sz w:val="20"/>
                <w:szCs w:val="20"/>
              </w:rPr>
            </w:pPr>
          </w:p>
        </w:tc>
        <w:tc>
          <w:tcPr>
            <w:tcW w:w="2979" w:type="dxa"/>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b/>
                <w:bCs/>
                <w:lang w:val="en-NZ"/>
              </w:rPr>
            </w:pPr>
            <w:r w:rsidRPr="008A36BA">
              <w:rPr>
                <w:b/>
                <w:bCs/>
                <w:lang w:val="en-NZ"/>
              </w:rPr>
              <w:t xml:space="preserve">8 MHz Channel Raster/Spacing </w:t>
            </w:r>
          </w:p>
          <w:p w:rsidR="00C807D2" w:rsidRPr="008A36BA" w:rsidRDefault="00C807D2" w:rsidP="0072607F">
            <w:pPr>
              <w:pStyle w:val="Tabletext"/>
              <w:jc w:val="center"/>
              <w:rPr>
                <w:lang w:val="en-NZ"/>
              </w:rPr>
            </w:pPr>
            <w:r w:rsidRPr="008A36BA">
              <w:rPr>
                <w:lang w:val="en-NZ"/>
              </w:rPr>
              <w:t xml:space="preserve">590-598 MHz (CH 36) </w:t>
            </w:r>
          </w:p>
          <w:p w:rsidR="00C807D2" w:rsidRPr="008A36BA" w:rsidRDefault="00C807D2" w:rsidP="0072607F">
            <w:pPr>
              <w:pStyle w:val="Tabletext"/>
              <w:jc w:val="center"/>
              <w:rPr>
                <w:lang w:val="en-NZ"/>
              </w:rPr>
            </w:pPr>
            <w:r w:rsidRPr="008A36BA">
              <w:rPr>
                <w:lang w:val="en-NZ"/>
              </w:rPr>
              <w:t xml:space="preserve">598-606 MHz (CH 37) </w:t>
            </w:r>
          </w:p>
        </w:tc>
        <w:tc>
          <w:tcPr>
            <w:tcW w:w="2406" w:type="dxa"/>
            <w:vMerge/>
            <w:tcBorders>
              <w:top w:val="single" w:sz="4" w:space="0" w:color="auto"/>
              <w:left w:val="single" w:sz="4" w:space="0" w:color="auto"/>
              <w:bottom w:val="single" w:sz="4" w:space="0" w:color="auto"/>
              <w:right w:val="single" w:sz="4" w:space="0" w:color="auto"/>
            </w:tcBorders>
            <w:vAlign w:val="center"/>
            <w:hideMark/>
          </w:tcPr>
          <w:p w:rsidR="00C807D2" w:rsidRPr="008A36BA" w:rsidRDefault="00C807D2" w:rsidP="0072607F">
            <w:pPr>
              <w:rPr>
                <w:rFonts w:eastAsia="Times New Roman"/>
                <w:sz w:val="20"/>
                <w:szCs w:val="20"/>
              </w:rPr>
            </w:pPr>
          </w:p>
        </w:tc>
      </w:tr>
      <w:tr w:rsidR="00C807D2" w:rsidRPr="008A36BA" w:rsidTr="00E94EBF">
        <w:trPr>
          <w:trHeight w:val="195"/>
          <w:jc w:val="center"/>
        </w:trPr>
        <w:tc>
          <w:tcPr>
            <w:tcW w:w="2970" w:type="dxa"/>
            <w:vMerge/>
            <w:tcBorders>
              <w:top w:val="single" w:sz="4" w:space="0" w:color="auto"/>
              <w:left w:val="single" w:sz="4" w:space="0" w:color="auto"/>
              <w:bottom w:val="single" w:sz="4" w:space="0" w:color="auto"/>
              <w:right w:val="single" w:sz="4" w:space="0" w:color="auto"/>
            </w:tcBorders>
            <w:vAlign w:val="center"/>
            <w:hideMark/>
          </w:tcPr>
          <w:p w:rsidR="00C807D2" w:rsidRPr="008A36BA" w:rsidRDefault="00C807D2" w:rsidP="0072607F">
            <w:pPr>
              <w:rPr>
                <w:rFonts w:eastAsia="Times New Roman"/>
                <w:sz w:val="20"/>
                <w:szCs w:val="20"/>
              </w:rPr>
            </w:pPr>
          </w:p>
        </w:tc>
        <w:tc>
          <w:tcPr>
            <w:tcW w:w="2979" w:type="dxa"/>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b/>
                <w:bCs/>
                <w:lang w:val="en-NZ"/>
              </w:rPr>
            </w:pPr>
            <w:r w:rsidRPr="008A36BA">
              <w:rPr>
                <w:b/>
                <w:bCs/>
                <w:lang w:val="en-NZ"/>
              </w:rPr>
              <w:t>7 MHz Channel Raster/Spacing</w:t>
            </w:r>
          </w:p>
          <w:p w:rsidR="00C807D2" w:rsidRPr="008A36BA" w:rsidRDefault="00C807D2" w:rsidP="0072607F">
            <w:pPr>
              <w:pStyle w:val="Tabletext"/>
              <w:jc w:val="center"/>
              <w:rPr>
                <w:lang w:val="en-NZ"/>
              </w:rPr>
            </w:pPr>
            <w:r w:rsidRPr="008A36BA">
              <w:rPr>
                <w:lang w:val="en-NZ"/>
              </w:rPr>
              <w:t>596-603 MHz (CH 38)</w:t>
            </w:r>
          </w:p>
        </w:tc>
        <w:tc>
          <w:tcPr>
            <w:tcW w:w="2406" w:type="dxa"/>
            <w:vMerge/>
            <w:tcBorders>
              <w:top w:val="single" w:sz="4" w:space="0" w:color="auto"/>
              <w:left w:val="single" w:sz="4" w:space="0" w:color="auto"/>
              <w:bottom w:val="single" w:sz="4" w:space="0" w:color="auto"/>
              <w:right w:val="single" w:sz="4" w:space="0" w:color="auto"/>
            </w:tcBorders>
            <w:vAlign w:val="center"/>
            <w:hideMark/>
          </w:tcPr>
          <w:p w:rsidR="00C807D2" w:rsidRPr="008A36BA" w:rsidRDefault="00C807D2" w:rsidP="0072607F">
            <w:pPr>
              <w:rPr>
                <w:rFonts w:eastAsia="Times New Roman"/>
                <w:sz w:val="20"/>
                <w:szCs w:val="20"/>
              </w:rPr>
            </w:pPr>
          </w:p>
        </w:tc>
      </w:tr>
      <w:tr w:rsidR="00C807D2" w:rsidRPr="008A36BA" w:rsidTr="00E94EBF">
        <w:trPr>
          <w:trHeight w:val="105"/>
          <w:jc w:val="center"/>
        </w:trPr>
        <w:tc>
          <w:tcPr>
            <w:tcW w:w="2970" w:type="dxa"/>
            <w:vMerge w:val="restart"/>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lang w:val="en-NZ"/>
              </w:rPr>
            </w:pPr>
            <w:r w:rsidRPr="008A36BA">
              <w:rPr>
                <w:lang w:val="en-NZ"/>
              </w:rPr>
              <w:t>B2: 35 + 35 MHz dual duplexers</w:t>
            </w:r>
          </w:p>
        </w:tc>
        <w:tc>
          <w:tcPr>
            <w:tcW w:w="2979" w:type="dxa"/>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b/>
                <w:bCs/>
                <w:lang w:val="en-NZ"/>
              </w:rPr>
            </w:pPr>
            <w:r w:rsidRPr="008A36BA">
              <w:rPr>
                <w:b/>
                <w:bCs/>
                <w:lang w:val="en-NZ"/>
              </w:rPr>
              <w:t xml:space="preserve">6 MHz Channel Raster/Spacing </w:t>
            </w:r>
          </w:p>
          <w:p w:rsidR="00C807D2" w:rsidRPr="008A36BA" w:rsidRDefault="00C807D2" w:rsidP="0072607F">
            <w:pPr>
              <w:pStyle w:val="Tabletext"/>
              <w:jc w:val="center"/>
              <w:rPr>
                <w:lang w:val="en-NZ"/>
              </w:rPr>
            </w:pPr>
            <w:r w:rsidRPr="008A36BA">
              <w:rPr>
                <w:lang w:val="en-NZ"/>
              </w:rPr>
              <w:t>596-602 MHz (CH 35)</w:t>
            </w:r>
          </w:p>
          <w:p w:rsidR="00C807D2" w:rsidRPr="008A36BA" w:rsidRDefault="00C807D2" w:rsidP="0072607F">
            <w:pPr>
              <w:pStyle w:val="Tabletext"/>
              <w:jc w:val="center"/>
              <w:rPr>
                <w:lang w:val="en-NZ"/>
              </w:rPr>
            </w:pPr>
            <w:r w:rsidRPr="008A36BA">
              <w:rPr>
                <w:lang w:val="en-NZ"/>
              </w:rPr>
              <w:t>602-608 (CH 36)</w:t>
            </w:r>
          </w:p>
        </w:tc>
        <w:tc>
          <w:tcPr>
            <w:tcW w:w="2406" w:type="dxa"/>
            <w:vMerge w:val="restart"/>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lang w:val="en-NZ"/>
              </w:rPr>
            </w:pPr>
            <w:r w:rsidRPr="008A36BA">
              <w:rPr>
                <w:lang w:val="en-NZ"/>
              </w:rPr>
              <w:t xml:space="preserve">617-652 MHz </w:t>
            </w:r>
          </w:p>
        </w:tc>
      </w:tr>
      <w:tr w:rsidR="00C807D2" w:rsidRPr="008A36BA" w:rsidTr="00E94EBF">
        <w:trPr>
          <w:trHeight w:val="105"/>
          <w:jc w:val="center"/>
        </w:trPr>
        <w:tc>
          <w:tcPr>
            <w:tcW w:w="2970" w:type="dxa"/>
            <w:vMerge/>
            <w:tcBorders>
              <w:top w:val="single" w:sz="4" w:space="0" w:color="auto"/>
              <w:left w:val="single" w:sz="4" w:space="0" w:color="auto"/>
              <w:bottom w:val="single" w:sz="4" w:space="0" w:color="auto"/>
              <w:right w:val="single" w:sz="4" w:space="0" w:color="auto"/>
            </w:tcBorders>
            <w:vAlign w:val="center"/>
            <w:hideMark/>
          </w:tcPr>
          <w:p w:rsidR="00C807D2" w:rsidRPr="008A36BA" w:rsidRDefault="00C807D2" w:rsidP="0072607F">
            <w:pPr>
              <w:rPr>
                <w:rFonts w:eastAsia="Times New Roman"/>
                <w:sz w:val="20"/>
                <w:szCs w:val="20"/>
              </w:rPr>
            </w:pPr>
          </w:p>
        </w:tc>
        <w:tc>
          <w:tcPr>
            <w:tcW w:w="2979" w:type="dxa"/>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b/>
                <w:bCs/>
                <w:lang w:val="en-NZ"/>
              </w:rPr>
            </w:pPr>
            <w:r w:rsidRPr="008A36BA">
              <w:rPr>
                <w:b/>
                <w:bCs/>
                <w:lang w:val="en-NZ"/>
              </w:rPr>
              <w:t xml:space="preserve">8 MHz Channel Raster/Spacing </w:t>
            </w:r>
          </w:p>
          <w:p w:rsidR="00C807D2" w:rsidRPr="008A36BA" w:rsidRDefault="00C807D2" w:rsidP="0072607F">
            <w:pPr>
              <w:pStyle w:val="Tabletext"/>
              <w:jc w:val="center"/>
              <w:rPr>
                <w:lang w:val="en-NZ"/>
              </w:rPr>
            </w:pPr>
            <w:r w:rsidRPr="008A36BA">
              <w:rPr>
                <w:lang w:val="en-NZ"/>
              </w:rPr>
              <w:t xml:space="preserve">590-598 MHz (CH 36) </w:t>
            </w:r>
          </w:p>
          <w:p w:rsidR="00C807D2" w:rsidRPr="008A36BA" w:rsidRDefault="00C807D2" w:rsidP="0072607F">
            <w:pPr>
              <w:pStyle w:val="Tabletext"/>
              <w:jc w:val="center"/>
              <w:rPr>
                <w:lang w:val="en-NZ"/>
              </w:rPr>
            </w:pPr>
            <w:r w:rsidRPr="008A36BA">
              <w:rPr>
                <w:lang w:val="en-NZ"/>
              </w:rPr>
              <w:t>598-606 MHz (CH 37)</w:t>
            </w:r>
          </w:p>
        </w:tc>
        <w:tc>
          <w:tcPr>
            <w:tcW w:w="2406" w:type="dxa"/>
            <w:vMerge/>
            <w:tcBorders>
              <w:top w:val="single" w:sz="4" w:space="0" w:color="auto"/>
              <w:left w:val="single" w:sz="4" w:space="0" w:color="auto"/>
              <w:bottom w:val="single" w:sz="4" w:space="0" w:color="auto"/>
              <w:right w:val="single" w:sz="4" w:space="0" w:color="auto"/>
            </w:tcBorders>
            <w:vAlign w:val="center"/>
            <w:hideMark/>
          </w:tcPr>
          <w:p w:rsidR="00C807D2" w:rsidRPr="008A36BA" w:rsidRDefault="00C807D2" w:rsidP="0072607F">
            <w:pPr>
              <w:rPr>
                <w:rFonts w:eastAsia="Times New Roman"/>
                <w:sz w:val="20"/>
                <w:szCs w:val="20"/>
              </w:rPr>
            </w:pPr>
          </w:p>
        </w:tc>
      </w:tr>
      <w:tr w:rsidR="00C807D2" w:rsidRPr="008A36BA" w:rsidTr="00E94EBF">
        <w:trPr>
          <w:trHeight w:val="105"/>
          <w:jc w:val="center"/>
        </w:trPr>
        <w:tc>
          <w:tcPr>
            <w:tcW w:w="2970" w:type="dxa"/>
            <w:vMerge/>
            <w:tcBorders>
              <w:top w:val="single" w:sz="4" w:space="0" w:color="auto"/>
              <w:left w:val="single" w:sz="4" w:space="0" w:color="auto"/>
              <w:bottom w:val="single" w:sz="4" w:space="0" w:color="auto"/>
              <w:right w:val="single" w:sz="4" w:space="0" w:color="auto"/>
            </w:tcBorders>
            <w:vAlign w:val="center"/>
            <w:hideMark/>
          </w:tcPr>
          <w:p w:rsidR="00C807D2" w:rsidRPr="008A36BA" w:rsidRDefault="00C807D2" w:rsidP="0072607F">
            <w:pPr>
              <w:rPr>
                <w:rFonts w:eastAsia="Times New Roman"/>
                <w:sz w:val="20"/>
                <w:szCs w:val="20"/>
              </w:rPr>
            </w:pPr>
          </w:p>
        </w:tc>
        <w:tc>
          <w:tcPr>
            <w:tcW w:w="2979" w:type="dxa"/>
            <w:tcBorders>
              <w:top w:val="single" w:sz="4" w:space="0" w:color="auto"/>
              <w:left w:val="single" w:sz="4" w:space="0" w:color="auto"/>
              <w:bottom w:val="single" w:sz="4" w:space="0" w:color="auto"/>
              <w:right w:val="single" w:sz="4" w:space="0" w:color="auto"/>
            </w:tcBorders>
            <w:hideMark/>
          </w:tcPr>
          <w:p w:rsidR="00C807D2" w:rsidRPr="008A36BA" w:rsidRDefault="00C807D2" w:rsidP="0072607F">
            <w:pPr>
              <w:pStyle w:val="Tabletext"/>
              <w:jc w:val="center"/>
              <w:rPr>
                <w:b/>
                <w:bCs/>
                <w:lang w:val="en-NZ"/>
              </w:rPr>
            </w:pPr>
            <w:r w:rsidRPr="008A36BA">
              <w:rPr>
                <w:b/>
                <w:bCs/>
                <w:lang w:val="en-NZ"/>
              </w:rPr>
              <w:t>7 MHz Channel Raster/Spacing</w:t>
            </w:r>
          </w:p>
          <w:p w:rsidR="00C807D2" w:rsidRPr="008A36BA" w:rsidRDefault="00C807D2" w:rsidP="0072607F">
            <w:pPr>
              <w:pStyle w:val="Tabletext"/>
              <w:jc w:val="center"/>
              <w:rPr>
                <w:lang w:val="en-NZ"/>
              </w:rPr>
            </w:pPr>
            <w:r w:rsidRPr="008A36BA">
              <w:rPr>
                <w:lang w:val="en-NZ"/>
              </w:rPr>
              <w:t xml:space="preserve">596-603 MHz (CH 38) </w:t>
            </w:r>
          </w:p>
          <w:p w:rsidR="00C807D2" w:rsidRPr="008A36BA" w:rsidRDefault="00C807D2" w:rsidP="0072607F">
            <w:pPr>
              <w:pStyle w:val="Tabletext"/>
              <w:jc w:val="center"/>
              <w:rPr>
                <w:lang w:val="en-NZ"/>
              </w:rPr>
            </w:pPr>
            <w:r w:rsidRPr="008A36BA">
              <w:rPr>
                <w:lang w:val="en-NZ"/>
              </w:rPr>
              <w:t>603-610 MHz (CH 39)</w:t>
            </w:r>
          </w:p>
        </w:tc>
        <w:tc>
          <w:tcPr>
            <w:tcW w:w="2406" w:type="dxa"/>
            <w:vMerge/>
            <w:tcBorders>
              <w:top w:val="single" w:sz="4" w:space="0" w:color="auto"/>
              <w:left w:val="single" w:sz="4" w:space="0" w:color="auto"/>
              <w:bottom w:val="single" w:sz="4" w:space="0" w:color="auto"/>
              <w:right w:val="single" w:sz="4" w:space="0" w:color="auto"/>
            </w:tcBorders>
            <w:vAlign w:val="center"/>
            <w:hideMark/>
          </w:tcPr>
          <w:p w:rsidR="00C807D2" w:rsidRPr="008A36BA" w:rsidRDefault="00C807D2" w:rsidP="0072607F">
            <w:pPr>
              <w:rPr>
                <w:rFonts w:eastAsia="Times New Roman"/>
                <w:sz w:val="20"/>
                <w:szCs w:val="20"/>
              </w:rPr>
            </w:pPr>
          </w:p>
        </w:tc>
      </w:tr>
    </w:tbl>
    <w:p w:rsidR="00C807D2" w:rsidRPr="008A36BA" w:rsidRDefault="00C807D2" w:rsidP="00C807D2">
      <w:pPr>
        <w:spacing w:after="120"/>
        <w:jc w:val="both"/>
      </w:pPr>
    </w:p>
    <w:p w:rsidR="002E3A78" w:rsidRPr="008A36BA" w:rsidRDefault="002E3A78" w:rsidP="002E3A78">
      <w:pPr>
        <w:spacing w:after="120"/>
        <w:jc w:val="both"/>
      </w:pPr>
      <w:r w:rsidRPr="008A36BA">
        <w:t>While the exact DT</w:t>
      </w:r>
      <w:r w:rsidR="00521556" w:rsidRPr="008A36BA">
        <w:t>T</w:t>
      </w:r>
      <w:r w:rsidRPr="008A36BA">
        <w:t xml:space="preserve">-to-mobile co-existence scenario is described under the </w:t>
      </w:r>
      <w:r w:rsidR="00521556" w:rsidRPr="008A36BA">
        <w:t>section 3 ‘</w:t>
      </w:r>
      <w:r w:rsidRPr="008A36BA">
        <w:t>Technical Analysis</w:t>
      </w:r>
      <w:r w:rsidR="00521556" w:rsidRPr="008A36BA">
        <w:t>’</w:t>
      </w:r>
      <w:r w:rsidRPr="008A36BA">
        <w:t>; for clarity, the assumed technical characteristics of DT</w:t>
      </w:r>
      <w:r w:rsidR="00521556" w:rsidRPr="008A36BA">
        <w:t>T</w:t>
      </w:r>
      <w:r w:rsidRPr="008A36BA">
        <w:t xml:space="preserve"> systems are below in Table </w:t>
      </w:r>
      <w:r w:rsidR="00545C84" w:rsidRPr="008A36BA">
        <w:t>A2</w:t>
      </w:r>
      <w:r w:rsidRPr="008A36BA">
        <w:t xml:space="preserve">. These characteristics are </w:t>
      </w:r>
      <w:r w:rsidR="00521556" w:rsidRPr="008A36BA">
        <w:t>taken</w:t>
      </w:r>
      <w:r w:rsidRPr="008A36BA">
        <w:t xml:space="preserve"> from Recommendation ITU-R BT.2383, which describe the </w:t>
      </w:r>
      <w:r w:rsidR="00545C84" w:rsidRPr="008A36BA">
        <w:t>typical frequency sharing characteristics</w:t>
      </w:r>
      <w:r w:rsidRPr="008A36BA">
        <w:t xml:space="preserve"> of </w:t>
      </w:r>
      <w:r w:rsidR="001D2D65" w:rsidRPr="008A36BA">
        <w:t>DTT</w:t>
      </w:r>
      <w:r w:rsidR="00545C84" w:rsidRPr="008A36BA">
        <w:t xml:space="preserve"> including </w:t>
      </w:r>
      <w:r w:rsidRPr="008A36BA">
        <w:t xml:space="preserve">DVB-T and DVB-T2 reference broadcast transmitter configurations. The study considers a single DTT transmitter under the </w:t>
      </w:r>
      <w:r w:rsidRPr="008A36BA">
        <w:rPr>
          <w:i/>
          <w:iCs/>
        </w:rPr>
        <w:t xml:space="preserve">high power </w:t>
      </w:r>
      <w:r w:rsidRPr="008A36BA">
        <w:t xml:space="preserve">class category, as it is the most critical in terms of worst-case interference prediction for DTT-to-mobile co-existence, from the DTT transmitter to a given mobile UE receiver. </w:t>
      </w:r>
    </w:p>
    <w:p w:rsidR="00545C84" w:rsidRPr="008A36BA" w:rsidRDefault="00545C84" w:rsidP="002E3A78">
      <w:pPr>
        <w:spacing w:after="120"/>
        <w:jc w:val="both"/>
        <w:rPr>
          <w:b/>
          <w:bCs/>
        </w:rPr>
      </w:pPr>
    </w:p>
    <w:p w:rsidR="002E3A78" w:rsidRPr="008A36BA" w:rsidRDefault="002E3A78" w:rsidP="002E3A78">
      <w:pPr>
        <w:spacing w:after="120"/>
        <w:jc w:val="center"/>
        <w:rPr>
          <w:b/>
        </w:rPr>
      </w:pPr>
      <w:r w:rsidRPr="008A36BA">
        <w:rPr>
          <w:b/>
        </w:rPr>
        <w:t xml:space="preserve">Table </w:t>
      </w:r>
      <w:r w:rsidR="00545C84" w:rsidRPr="008A36BA">
        <w:rPr>
          <w:b/>
        </w:rPr>
        <w:t>A2</w:t>
      </w:r>
      <w:r w:rsidRPr="008A36BA">
        <w:rPr>
          <w:b/>
        </w:rPr>
        <w:t xml:space="preserve"> –DTT transmitter characteristics</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2E3A78" w:rsidRPr="008A36BA" w:rsidTr="002E3A78">
        <w:trPr>
          <w:cantSplit/>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E3A78" w:rsidRPr="008A36BA" w:rsidRDefault="002E3A78">
            <w:pPr>
              <w:pStyle w:val="Tablehead"/>
              <w:rPr>
                <w:lang w:val="en-NZ" w:eastAsia="en-GB"/>
              </w:rPr>
            </w:pPr>
            <w:r w:rsidRPr="008A36BA">
              <w:rPr>
                <w:lang w:val="en-NZ" w:eastAsia="en-GB"/>
              </w:rPr>
              <w:t>Parameter</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E3A78" w:rsidRPr="008A36BA" w:rsidRDefault="002E3A78">
            <w:pPr>
              <w:pStyle w:val="Tablehead"/>
              <w:rPr>
                <w:lang w:val="en-NZ" w:eastAsia="en-GB"/>
              </w:rPr>
            </w:pPr>
            <w:r w:rsidRPr="008A36BA">
              <w:rPr>
                <w:lang w:val="en-NZ" w:eastAsia="en-GB"/>
              </w:rPr>
              <w:t>Value</w:t>
            </w: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E3A78" w:rsidRPr="008A36BA" w:rsidRDefault="002E3A78">
            <w:pPr>
              <w:pStyle w:val="Tablehead"/>
              <w:rPr>
                <w:lang w:val="en-NZ" w:eastAsia="en-GB"/>
              </w:rPr>
            </w:pPr>
            <w:r w:rsidRPr="008A36BA">
              <w:rPr>
                <w:lang w:val="en-NZ" w:eastAsia="en-GB"/>
              </w:rPr>
              <w:t>Reference</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ERP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200 kW/83 dBm</w:t>
            </w:r>
          </w:p>
        </w:tc>
        <w:tc>
          <w:tcPr>
            <w:tcW w:w="2694" w:type="dxa"/>
            <w:vMerge w:val="restart"/>
            <w:tcBorders>
              <w:top w:val="single" w:sz="4" w:space="0" w:color="auto"/>
              <w:left w:val="single" w:sz="4" w:space="0" w:color="auto"/>
              <w:bottom w:val="single" w:sz="4" w:space="0" w:color="auto"/>
              <w:right w:val="single" w:sz="4" w:space="0" w:color="auto"/>
            </w:tcBorders>
          </w:tcPr>
          <w:p w:rsidR="002E3A78" w:rsidRPr="008A36BA" w:rsidRDefault="002E3A78">
            <w:pPr>
              <w:pStyle w:val="Tabletext"/>
              <w:jc w:val="center"/>
              <w:rPr>
                <w:lang w:val="en-NZ"/>
              </w:rPr>
            </w:pPr>
            <w:r w:rsidRPr="008A36BA">
              <w:rPr>
                <w:lang w:val="en-NZ"/>
              </w:rPr>
              <w:t>Section 7.1 Recommendation ITU-R BT.2383</w:t>
            </w:r>
          </w:p>
          <w:p w:rsidR="002E3A78" w:rsidRPr="008A36BA" w:rsidRDefault="002E3A78">
            <w:pPr>
              <w:pStyle w:val="Tabletext"/>
              <w:jc w:val="center"/>
              <w:rPr>
                <w:lang w:val="en-NZ"/>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EIRP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ERP + 2.15 dB=85.15 dBm</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eastAsia="en-GB"/>
              </w:rPr>
            </w:pPr>
            <w:r w:rsidRPr="008A36BA">
              <w:rPr>
                <w:lang w:val="en-NZ"/>
              </w:rPr>
              <w:t>Effective antenna height</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300 m</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Antenna heigh above ground level (a.g.l.)</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200 m</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eastAsia="en-GB"/>
              </w:rPr>
            </w:pPr>
            <w:r w:rsidRPr="008A36BA">
              <w:rPr>
                <w:lang w:val="en-NZ"/>
              </w:rPr>
              <w:t>Horizontal radiation pattern</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Omnidirectional</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Vertical radiation pattern</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Based on 24 λ aperture with a 1° beam tilt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Section 7.1.1 Recommendation ITU-R BT.2383</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Coverage structure and radius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Circular and 53 km</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Based on maximum allowable pathloss in the DTT system and link budget calculations shown in Annex 2, Table A2.1.1 Recommendation ITU-R BT.2383</w:t>
            </w:r>
          </w:p>
        </w:tc>
      </w:tr>
    </w:tbl>
    <w:p w:rsidR="002E3A78" w:rsidRPr="008A36BA" w:rsidRDefault="002E3A78" w:rsidP="002E3A78">
      <w:pPr>
        <w:spacing w:after="120"/>
        <w:jc w:val="both"/>
        <w:rPr>
          <w:b/>
          <w:bCs/>
        </w:rPr>
      </w:pPr>
    </w:p>
    <w:p w:rsidR="002E3A78" w:rsidRPr="008A36BA" w:rsidRDefault="00C956EE" w:rsidP="002E3A78">
      <w:pPr>
        <w:spacing w:after="120"/>
        <w:jc w:val="both"/>
      </w:pPr>
      <w:r w:rsidRPr="008A36BA">
        <w:t>T</w:t>
      </w:r>
      <w:r w:rsidR="002E3A78" w:rsidRPr="008A36BA">
        <w:t xml:space="preserve">he mobile system parameters are </w:t>
      </w:r>
      <w:r w:rsidRPr="008A36BA">
        <w:t xml:space="preserve">taken </w:t>
      </w:r>
      <w:r w:rsidR="002E3A78" w:rsidRPr="008A36BA">
        <w:t xml:space="preserve">from Recommendation ITU-R M.2292-0, where a grid of mobile </w:t>
      </w:r>
      <w:r w:rsidR="008A36BA" w:rsidRPr="008A36BA">
        <w:t>Base Stations (</w:t>
      </w:r>
      <w:r w:rsidR="002E3A78" w:rsidRPr="008A36BA">
        <w:t>BS</w:t>
      </w:r>
      <w:r w:rsidR="008A36BA" w:rsidRPr="008A36BA">
        <w:t>)</w:t>
      </w:r>
      <w:r w:rsidR="002E3A78" w:rsidRPr="008A36BA">
        <w:t xml:space="preserve"> were overlaid on the DTT coverage area. Each mobile BS is placed at the origin of a three-sector hexagonal cell with an </w:t>
      </w:r>
      <w:r w:rsidR="002E3A78" w:rsidRPr="008A36BA">
        <w:rPr>
          <w:rFonts w:eastAsia="Batang"/>
        </w:rPr>
        <w:t>azimuthal spacing of 120</w:t>
      </w:r>
      <w:r w:rsidR="002E3A78" w:rsidRPr="008A36BA">
        <w:t xml:space="preserve">°. As stated in Recommendation ITU-R M.2292-0, the radius of each cell is linked to the environment in which the cell operates in. In this study, we consider the mobile BS characteristics corresponding to the </w:t>
      </w:r>
      <w:r w:rsidR="002E3A78" w:rsidRPr="008A36BA">
        <w:rPr>
          <w:i/>
          <w:iCs/>
        </w:rPr>
        <w:t>macro rural</w:t>
      </w:r>
      <w:r w:rsidR="002E3A78" w:rsidRPr="008A36BA">
        <w:t xml:space="preserve"> scenario, which are presented in Table </w:t>
      </w:r>
      <w:r w:rsidRPr="008A36BA">
        <w:t>A3</w:t>
      </w:r>
      <w:r w:rsidR="002E3A78" w:rsidRPr="008A36BA">
        <w:t>.</w:t>
      </w:r>
      <w:r w:rsidRPr="008A36BA">
        <w:t xml:space="preserve"> The </w:t>
      </w:r>
      <w:r w:rsidRPr="008A36BA">
        <w:rPr>
          <w:i/>
          <w:iCs/>
        </w:rPr>
        <w:t>macro rural</w:t>
      </w:r>
      <w:r w:rsidRPr="008A36BA">
        <w:t xml:space="preserve"> scenario represents worst</w:t>
      </w:r>
      <w:r w:rsidR="00622D61" w:rsidRPr="008A36BA">
        <w:t>-</w:t>
      </w:r>
      <w:r w:rsidRPr="008A36BA">
        <w:t xml:space="preserve">case </w:t>
      </w:r>
      <w:r w:rsidR="00622D61" w:rsidRPr="008A36BA">
        <w:t xml:space="preserve">compared with other scenarios such as </w:t>
      </w:r>
      <w:r w:rsidR="00622D61" w:rsidRPr="008A36BA">
        <w:rPr>
          <w:i/>
          <w:iCs/>
        </w:rPr>
        <w:t>macro suburban or macro urban.</w:t>
      </w:r>
    </w:p>
    <w:p w:rsidR="002B0DB4" w:rsidRPr="008A36BA" w:rsidRDefault="002B0DB4" w:rsidP="002E3A78">
      <w:pPr>
        <w:spacing w:after="120"/>
        <w:jc w:val="both"/>
      </w:pPr>
    </w:p>
    <w:p w:rsidR="008A36BA" w:rsidRPr="008A36BA" w:rsidRDefault="008A36BA">
      <w:pPr>
        <w:rPr>
          <w:b/>
        </w:rPr>
      </w:pPr>
      <w:r w:rsidRPr="008A36BA">
        <w:rPr>
          <w:b/>
        </w:rPr>
        <w:br w:type="page"/>
      </w:r>
    </w:p>
    <w:p w:rsidR="002E3A78" w:rsidRPr="008A36BA" w:rsidRDefault="002E3A78" w:rsidP="002E3A78">
      <w:pPr>
        <w:spacing w:after="120"/>
        <w:jc w:val="center"/>
        <w:rPr>
          <w:b/>
        </w:rPr>
      </w:pPr>
      <w:r w:rsidRPr="008A36BA">
        <w:rPr>
          <w:b/>
        </w:rPr>
        <w:t xml:space="preserve">Table </w:t>
      </w:r>
      <w:r w:rsidR="00C956EE" w:rsidRPr="008A36BA">
        <w:rPr>
          <w:b/>
        </w:rPr>
        <w:t>A3</w:t>
      </w:r>
      <w:r w:rsidRPr="008A36BA">
        <w:rPr>
          <w:b/>
        </w:rPr>
        <w:t xml:space="preserve"> – </w:t>
      </w:r>
      <w:r w:rsidR="00C956EE" w:rsidRPr="008A36BA">
        <w:rPr>
          <w:b/>
        </w:rPr>
        <w:t>M</w:t>
      </w:r>
      <w:r w:rsidRPr="008A36BA">
        <w:rPr>
          <w:b/>
        </w:rPr>
        <w:t xml:space="preserve">obile BS transmitter characteristics </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2E3A78" w:rsidRPr="008A36BA" w:rsidTr="002E3A78">
        <w:trPr>
          <w:cantSplit/>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E3A78" w:rsidRPr="008A36BA" w:rsidRDefault="002E3A78">
            <w:pPr>
              <w:pStyle w:val="Tablehead"/>
              <w:rPr>
                <w:lang w:val="en-NZ" w:eastAsia="en-GB"/>
              </w:rPr>
            </w:pPr>
            <w:r w:rsidRPr="008A36BA">
              <w:rPr>
                <w:lang w:val="en-NZ" w:eastAsia="en-GB"/>
              </w:rPr>
              <w:t>Parameter</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E3A78" w:rsidRPr="008A36BA" w:rsidRDefault="002E3A78">
            <w:pPr>
              <w:pStyle w:val="Tablehead"/>
              <w:rPr>
                <w:lang w:val="en-NZ" w:eastAsia="en-GB"/>
              </w:rPr>
            </w:pPr>
            <w:r w:rsidRPr="008A36BA">
              <w:rPr>
                <w:lang w:val="en-NZ" w:eastAsia="en-GB"/>
              </w:rPr>
              <w:t>Value</w:t>
            </w: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E3A78" w:rsidRPr="008A36BA" w:rsidRDefault="002E3A78">
            <w:pPr>
              <w:pStyle w:val="Tablehead"/>
              <w:rPr>
                <w:lang w:val="en-NZ" w:eastAsia="en-GB"/>
              </w:rPr>
            </w:pPr>
            <w:r w:rsidRPr="008A36BA">
              <w:rPr>
                <w:lang w:val="en-NZ" w:eastAsia="en-GB"/>
              </w:rPr>
              <w:t>Reference</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Cell structure/radius</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Hexagonal/8 km; typical for macro rural scenarios </w:t>
            </w:r>
          </w:p>
        </w:tc>
        <w:tc>
          <w:tcPr>
            <w:tcW w:w="2694" w:type="dxa"/>
            <w:vMerge w:val="restart"/>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Table 2 Recommendation ITU-R M.2292-0</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BS antenna height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30 m </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Sectorization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3 sectors; each with 120° width</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BS antenna downtilt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3°</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Frequency reuse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1</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BS antenna gain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15 dBi</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Antenna patterns in horizontal and vertical planes</w:t>
            </w:r>
          </w:p>
        </w:tc>
        <w:tc>
          <w:tcPr>
            <w:tcW w:w="5387" w:type="dxa"/>
            <w:gridSpan w:val="2"/>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Recommendation ITU-R F.1336-5 (Recommends 3.1) with the parameters </w:t>
            </w:r>
            <m:oMath>
              <m:sSub>
                <m:sSubPr>
                  <m:ctrlPr>
                    <w:rPr>
                      <w:rFonts w:ascii="Cambria Math" w:hAnsi="Cambria Math"/>
                      <w:i/>
                      <w:lang w:val="en-NZ"/>
                    </w:rPr>
                  </m:ctrlPr>
                </m:sSubPr>
                <m:e>
                  <m:r>
                    <w:rPr>
                      <w:rFonts w:ascii="Cambria Math" w:hAnsi="Cambria Math"/>
                      <w:lang w:val="en-NZ"/>
                    </w:rPr>
                    <m:t>k</m:t>
                  </m:r>
                </m:e>
                <m:sub>
                  <m:r>
                    <w:rPr>
                      <w:rFonts w:ascii="Cambria Math" w:hAnsi="Cambria Math"/>
                      <w:lang w:val="en-NZ"/>
                    </w:rPr>
                    <m:t>a</m:t>
                  </m:r>
                </m:sub>
              </m:sSub>
              <m:r>
                <w:rPr>
                  <w:rFonts w:ascii="Cambria Math" w:hAnsi="Cambria Math"/>
                  <w:lang w:val="en-NZ"/>
                </w:rPr>
                <m:t>=0.7</m:t>
              </m:r>
            </m:oMath>
            <w:r w:rsidRPr="008A36BA">
              <w:rPr>
                <w:lang w:val="en-NZ"/>
              </w:rPr>
              <w:t xml:space="preserve">, </w:t>
            </w:r>
            <m:oMath>
              <m:sSub>
                <m:sSubPr>
                  <m:ctrlPr>
                    <w:rPr>
                      <w:rFonts w:ascii="Cambria Math" w:hAnsi="Cambria Math"/>
                      <w:i/>
                      <w:lang w:val="en-NZ"/>
                    </w:rPr>
                  </m:ctrlPr>
                </m:sSubPr>
                <m:e>
                  <m:r>
                    <w:rPr>
                      <w:rFonts w:ascii="Cambria Math" w:hAnsi="Cambria Math"/>
                      <w:lang w:val="en-NZ"/>
                    </w:rPr>
                    <m:t>k</m:t>
                  </m:r>
                </m:e>
                <m:sub>
                  <m:r>
                    <w:rPr>
                      <w:rFonts w:ascii="Cambria Math" w:hAnsi="Cambria Math"/>
                      <w:lang w:val="en-NZ"/>
                    </w:rPr>
                    <m:t>p</m:t>
                  </m:r>
                </m:sub>
              </m:sSub>
              <m:r>
                <w:rPr>
                  <w:rFonts w:ascii="Cambria Math" w:hAnsi="Cambria Math"/>
                  <w:lang w:val="en-NZ"/>
                </w:rPr>
                <m:t>=0.7</m:t>
              </m:r>
            </m:oMath>
            <w:r w:rsidRPr="008A36BA">
              <w:rPr>
                <w:lang w:val="en-NZ"/>
              </w:rPr>
              <w:t xml:space="preserve">, </w:t>
            </w:r>
            <m:oMath>
              <m:sSub>
                <m:sSubPr>
                  <m:ctrlPr>
                    <w:rPr>
                      <w:rFonts w:ascii="Cambria Math" w:hAnsi="Cambria Math"/>
                      <w:i/>
                      <w:lang w:val="en-NZ"/>
                    </w:rPr>
                  </m:ctrlPr>
                </m:sSubPr>
                <m:e>
                  <m:r>
                    <w:rPr>
                      <w:rFonts w:ascii="Cambria Math" w:hAnsi="Cambria Math"/>
                      <w:lang w:val="en-NZ"/>
                    </w:rPr>
                    <m:t>k</m:t>
                  </m:r>
                </m:e>
                <m:sub>
                  <m:r>
                    <w:rPr>
                      <w:rFonts w:ascii="Cambria Math" w:hAnsi="Cambria Math"/>
                      <w:lang w:val="en-NZ"/>
                    </w:rPr>
                    <m:t>h</m:t>
                  </m:r>
                </m:sub>
              </m:sSub>
              <m:r>
                <w:rPr>
                  <w:rFonts w:ascii="Cambria Math" w:hAnsi="Cambria Math"/>
                  <w:lang w:val="en-NZ"/>
                </w:rPr>
                <m:t>=0.7</m:t>
              </m:r>
            </m:oMath>
            <w:r w:rsidRPr="008A36BA">
              <w:rPr>
                <w:lang w:val="en-NZ"/>
              </w:rPr>
              <w:t xml:space="preserve"> and </w:t>
            </w:r>
            <m:oMath>
              <m:sSub>
                <m:sSubPr>
                  <m:ctrlPr>
                    <w:rPr>
                      <w:rFonts w:ascii="Cambria Math" w:hAnsi="Cambria Math"/>
                      <w:i/>
                      <w:lang w:val="en-NZ"/>
                    </w:rPr>
                  </m:ctrlPr>
                </m:sSubPr>
                <m:e>
                  <m:r>
                    <w:rPr>
                      <w:rFonts w:ascii="Cambria Math" w:hAnsi="Cambria Math"/>
                      <w:lang w:val="en-NZ"/>
                    </w:rPr>
                    <m:t>k</m:t>
                  </m:r>
                </m:e>
                <m:sub>
                  <m:r>
                    <w:rPr>
                      <w:rFonts w:ascii="Cambria Math" w:hAnsi="Cambria Math"/>
                      <w:lang w:val="en-NZ"/>
                    </w:rPr>
                    <m:t>v</m:t>
                  </m:r>
                </m:sub>
              </m:sSub>
              <m:r>
                <w:rPr>
                  <w:rFonts w:ascii="Cambria Math" w:hAnsi="Cambria Math"/>
                  <w:lang w:val="en-NZ"/>
                </w:rPr>
                <m:t>=0.3</m:t>
              </m:r>
            </m:oMath>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Horizontal 3 dB beamwidth</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65°</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Table 2 Recommendation ITU-R M.2292-0</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Vertical 3 dB beamwidth</w:t>
            </w:r>
          </w:p>
        </w:tc>
        <w:tc>
          <w:tcPr>
            <w:tcW w:w="5387" w:type="dxa"/>
            <w:gridSpan w:val="2"/>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Determined from the horizontal 3 dB beamwidth by the equations in Recommendation ITU-R F.1336-5 </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Antenna polarization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±45° </w:t>
            </w:r>
          </w:p>
        </w:tc>
        <w:tc>
          <w:tcPr>
            <w:tcW w:w="2694" w:type="dxa"/>
            <w:vMerge w:val="restart"/>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Table 2 Recommendation ITU-R M.2292-0</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Feeder loss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3 dB</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Maximum BS output power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46 dBm/10 MHz </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BS EIRP/sector</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58 dBm/10 MHz</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Average BS activity factor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50% </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Average BS EIRP/sector considering the average BS activity factor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55 dBm/10 MHz</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bl>
    <w:p w:rsidR="002E3A78" w:rsidRPr="008A36BA" w:rsidRDefault="002E3A78" w:rsidP="002E3A78">
      <w:pPr>
        <w:spacing w:after="120"/>
        <w:jc w:val="both"/>
      </w:pPr>
    </w:p>
    <w:p w:rsidR="002E3A78" w:rsidRPr="008A36BA" w:rsidRDefault="002E3A78" w:rsidP="002E3A78">
      <w:pPr>
        <w:spacing w:after="120"/>
        <w:jc w:val="both"/>
      </w:pPr>
      <w:r w:rsidRPr="008A36BA">
        <w:t xml:space="preserve">Each BS serves mobile </w:t>
      </w:r>
      <w:r w:rsidR="008A36BA">
        <w:t>User Equipment (</w:t>
      </w:r>
      <w:r w:rsidRPr="008A36BA">
        <w:t>UE</w:t>
      </w:r>
      <w:r w:rsidR="008A36BA">
        <w:t>)</w:t>
      </w:r>
      <w:r w:rsidRPr="008A36BA">
        <w:t xml:space="preserve"> in its coverage area with a certain density per-square </w:t>
      </w:r>
      <w:r w:rsidR="008A36BA" w:rsidRPr="008A36BA">
        <w:t>kilometre</w:t>
      </w:r>
      <w:r w:rsidRPr="008A36BA">
        <w:t xml:space="preserve">, proportional to the cell’s operating environment. The position of each UE is randomly selected with a </w:t>
      </w:r>
      <w:r w:rsidRPr="008A36BA">
        <w:rPr>
          <w:i/>
          <w:iCs/>
        </w:rPr>
        <w:t>uniform distribution</w:t>
      </w:r>
      <w:r w:rsidRPr="008A36BA">
        <w:t xml:space="preserve"> with respect to the cell area. To simulate a reasonable balance between indoor and outdoor UEs, it is assumed that 50% of the total number of UEs are indoors, in which case a fixed outdoor-to-indoor penetration loss is added together with a body loss to the overall predicted propagation loss from the BS transmitter to the UE receive position (discussed in detail later in the document). As for the BS transmitter, the specific characteristics of each mobile UE receiver is also </w:t>
      </w:r>
      <w:r w:rsidR="00622D61" w:rsidRPr="008A36BA">
        <w:t>taken</w:t>
      </w:r>
      <w:r w:rsidRPr="008A36BA">
        <w:t xml:space="preserve"> from Recommendation ITU-R M.2292-0, where the parameters relevant to this study are given in the Table </w:t>
      </w:r>
      <w:r w:rsidR="00622D61" w:rsidRPr="008A36BA">
        <w:t>A4</w:t>
      </w:r>
      <w:r w:rsidRPr="008A36BA">
        <w:t xml:space="preserve"> below: </w:t>
      </w:r>
    </w:p>
    <w:p w:rsidR="00C956EE" w:rsidRPr="008A36BA" w:rsidRDefault="00C956EE" w:rsidP="002E3A78">
      <w:pPr>
        <w:spacing w:after="120"/>
        <w:jc w:val="both"/>
      </w:pPr>
    </w:p>
    <w:p w:rsidR="002E3A78" w:rsidRPr="008A36BA" w:rsidRDefault="002E3A78" w:rsidP="002E3A78">
      <w:pPr>
        <w:spacing w:after="120"/>
        <w:jc w:val="center"/>
        <w:rPr>
          <w:b/>
        </w:rPr>
      </w:pPr>
      <w:r w:rsidRPr="008A36BA">
        <w:rPr>
          <w:b/>
        </w:rPr>
        <w:t xml:space="preserve">Table </w:t>
      </w:r>
      <w:r w:rsidR="00622D61" w:rsidRPr="008A36BA">
        <w:rPr>
          <w:b/>
        </w:rPr>
        <w:t xml:space="preserve">A4 </w:t>
      </w:r>
      <w:r w:rsidRPr="008A36BA">
        <w:rPr>
          <w:b/>
        </w:rPr>
        <w:t>– Assumed mobile UE receiver characteristics</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2E3A78" w:rsidRPr="008A36BA" w:rsidTr="002E3A78">
        <w:trPr>
          <w:cantSplit/>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E3A78" w:rsidRPr="008A36BA" w:rsidRDefault="002E3A78">
            <w:pPr>
              <w:pStyle w:val="Tablehead"/>
              <w:rPr>
                <w:lang w:val="en-NZ" w:eastAsia="en-GB"/>
              </w:rPr>
            </w:pPr>
            <w:r w:rsidRPr="008A36BA">
              <w:rPr>
                <w:lang w:val="en-NZ" w:eastAsia="en-GB"/>
              </w:rPr>
              <w:t>Parameter</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E3A78" w:rsidRPr="008A36BA" w:rsidRDefault="002E3A78">
            <w:pPr>
              <w:pStyle w:val="Tablehead"/>
              <w:rPr>
                <w:lang w:val="en-NZ" w:eastAsia="en-GB"/>
              </w:rPr>
            </w:pPr>
            <w:r w:rsidRPr="008A36BA">
              <w:rPr>
                <w:lang w:val="en-NZ" w:eastAsia="en-GB"/>
              </w:rPr>
              <w:t>Value</w:t>
            </w: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E3A78" w:rsidRPr="008A36BA" w:rsidRDefault="002E3A78">
            <w:pPr>
              <w:pStyle w:val="Tablehead"/>
              <w:rPr>
                <w:lang w:val="en-NZ" w:eastAsia="en-GB"/>
              </w:rPr>
            </w:pPr>
            <w:r w:rsidRPr="008A36BA">
              <w:rPr>
                <w:lang w:val="en-NZ" w:eastAsia="en-GB"/>
              </w:rPr>
              <w:t>Reference</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Indoor UE usage percentage</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50% for macro rural scenarios</w:t>
            </w:r>
          </w:p>
        </w:tc>
        <w:tc>
          <w:tcPr>
            <w:tcW w:w="2694" w:type="dxa"/>
            <w:vMerge w:val="restart"/>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Table 2 Recommendation ITU-R M.2292-0 </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Average outdoor-to-indoor UE penetration loss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15 dB for macro rural scenarios</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UE density and distribution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0.17/5 MHz/km² for macro rural scenarios and uniform </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UE antenna gain and patterns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-3 dBi and omnidirectional in horizontal and vertical planes</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Body loss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4 dB</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UE height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1.5 m</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UE noise figure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9 dB for macro scenarios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Table 1 Recommendation ITU-R M.2292-0</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UE (in-band) blocking level</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-44 dBm ± 15 MHz of UE in-band; For ≥ 95% of the maximum throughput of the reference measurement channels</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Table 7.6.2-2 3GPP TS 38.101-1 </w:t>
            </w:r>
          </w:p>
        </w:tc>
      </w:tr>
    </w:tbl>
    <w:p w:rsidR="002E3A78" w:rsidRPr="008A36BA" w:rsidRDefault="002E3A78" w:rsidP="002E3A78">
      <w:pPr>
        <w:spacing w:after="120"/>
        <w:jc w:val="both"/>
      </w:pPr>
    </w:p>
    <w:p w:rsidR="002E3A78" w:rsidRPr="008A36BA" w:rsidRDefault="002E3A78" w:rsidP="002E3A78">
      <w:pPr>
        <w:spacing w:after="120"/>
        <w:jc w:val="both"/>
      </w:pPr>
      <w:r w:rsidRPr="008A36BA">
        <w:t xml:space="preserve">As an example, the </w:t>
      </w:r>
      <w:bookmarkStart w:id="0" w:name="_Hlk97224824"/>
      <w:r w:rsidR="00C807D2" w:rsidRPr="008A36BA">
        <w:t>overall</w:t>
      </w:r>
      <w:bookmarkEnd w:id="0"/>
      <w:r w:rsidRPr="008A36BA">
        <w:t xml:space="preserve"> 3 sector hexagonal grid of cells with mobile BSs serving mobile UEs is shown in Figure </w:t>
      </w:r>
      <w:r w:rsidR="00111851" w:rsidRPr="008A36BA">
        <w:t>A2</w:t>
      </w:r>
      <w:r w:rsidRPr="008A36BA">
        <w:t>. Here the cell radius and inter-site distances (</w:t>
      </w:r>
      <m:oMath>
        <m:sSub>
          <m:sSubPr>
            <m:ctrlPr>
              <w:rPr>
                <w:rFonts w:ascii="Cambria Math" w:hAnsi="Cambria Math"/>
                <w:i/>
              </w:rPr>
            </m:ctrlPr>
          </m:sSubPr>
          <m:e>
            <m:r>
              <w:rPr>
                <w:rFonts w:ascii="Cambria Math" w:hAnsi="Cambria Math"/>
              </w:rPr>
              <m:t>d</m:t>
            </m:r>
          </m:e>
          <m:sub>
            <m:r>
              <m:rPr>
                <m:sty m:val="p"/>
              </m:rPr>
              <w:rPr>
                <w:rFonts w:ascii="Cambria Math" w:hAnsi="Cambria Math"/>
              </w:rPr>
              <m:t>intersite</m:t>
            </m:r>
          </m:sub>
        </m:sSub>
      </m:oMath>
      <w:r w:rsidRPr="008A36BA">
        <w:t xml:space="preserve">) are shown and can be computed via straightforward trigonometry of hexagons. </w:t>
      </w:r>
    </w:p>
    <w:p w:rsidR="005E0349" w:rsidRPr="008A36BA" w:rsidRDefault="005E0349" w:rsidP="002E3A78">
      <w:pPr>
        <w:spacing w:after="120"/>
        <w:jc w:val="both"/>
      </w:pPr>
    </w:p>
    <w:p w:rsidR="002E3A78" w:rsidRPr="008A36BA" w:rsidRDefault="002E3A78" w:rsidP="002E3A78">
      <w:pPr>
        <w:spacing w:after="120"/>
        <w:jc w:val="both"/>
      </w:pPr>
      <w:r w:rsidRPr="008A36BA">
        <w:rPr>
          <w:noProof/>
        </w:rPr>
        <w:drawing>
          <wp:anchor distT="0" distB="0" distL="114300" distR="114300" simplePos="0" relativeHeight="251661312" behindDoc="1" locked="0" layoutInCell="1" allowOverlap="1" wp14:anchorId="704DDAC0" wp14:editId="667D087E">
            <wp:simplePos x="0" y="0"/>
            <wp:positionH relativeFrom="margin">
              <wp:posOffset>0</wp:posOffset>
            </wp:positionH>
            <wp:positionV relativeFrom="paragraph">
              <wp:posOffset>73025</wp:posOffset>
            </wp:positionV>
            <wp:extent cx="5537200" cy="2713355"/>
            <wp:effectExtent l="0" t="0" r="6350" b="0"/>
            <wp:wrapTight wrapText="bothSides">
              <wp:wrapPolygon edited="0">
                <wp:start x="10478" y="0"/>
                <wp:lineTo x="8917" y="2426"/>
                <wp:lineTo x="1115" y="2730"/>
                <wp:lineTo x="817" y="2881"/>
                <wp:lineTo x="817" y="4853"/>
                <wp:lineTo x="297" y="7279"/>
                <wp:lineTo x="817" y="9706"/>
                <wp:lineTo x="817" y="18350"/>
                <wp:lineTo x="966" y="19411"/>
                <wp:lineTo x="2229" y="21383"/>
                <wp:lineTo x="2378" y="21383"/>
                <wp:lineTo x="4310" y="21383"/>
                <wp:lineTo x="17538" y="19563"/>
                <wp:lineTo x="19916" y="9706"/>
                <wp:lineTo x="18801" y="4853"/>
                <wp:lineTo x="21550" y="2730"/>
                <wp:lineTo x="21550" y="910"/>
                <wp:lineTo x="17538" y="0"/>
                <wp:lineTo x="10478"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7200" cy="2713355"/>
                    </a:xfrm>
                    <a:prstGeom prst="rect">
                      <a:avLst/>
                    </a:prstGeom>
                    <a:noFill/>
                  </pic:spPr>
                </pic:pic>
              </a:graphicData>
            </a:graphic>
            <wp14:sizeRelH relativeFrom="margin">
              <wp14:pctWidth>0</wp14:pctWidth>
            </wp14:sizeRelH>
            <wp14:sizeRelV relativeFrom="margin">
              <wp14:pctHeight>0</wp14:pctHeight>
            </wp14:sizeRelV>
          </wp:anchor>
        </w:drawing>
      </w: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jc w:val="center"/>
        <w:rPr>
          <w:b/>
          <w:bCs/>
        </w:rPr>
      </w:pPr>
      <w:r w:rsidRPr="008A36BA">
        <w:rPr>
          <w:b/>
          <w:bCs/>
        </w:rPr>
        <w:t xml:space="preserve">Figure </w:t>
      </w:r>
      <w:r w:rsidR="00111851" w:rsidRPr="008A36BA">
        <w:rPr>
          <w:b/>
          <w:bCs/>
        </w:rPr>
        <w:t>A2</w:t>
      </w:r>
      <w:r w:rsidRPr="008A36BA">
        <w:rPr>
          <w:b/>
          <w:bCs/>
        </w:rPr>
        <w:t xml:space="preserve"> – </w:t>
      </w:r>
      <w:r w:rsidR="00E32F6B" w:rsidRPr="008A36BA">
        <w:rPr>
          <w:b/>
          <w:bCs/>
        </w:rPr>
        <w:t xml:space="preserve">An example grid of mobile BSs placed in three sector hexagonal cells serving mobile UEs uniformly distributed across the cell with the density </w:t>
      </w:r>
      <w:r w:rsidR="005E0349" w:rsidRPr="008A36BA">
        <w:rPr>
          <w:b/>
          <w:bCs/>
        </w:rPr>
        <w:t>from</w:t>
      </w:r>
      <w:r w:rsidR="00E32F6B" w:rsidRPr="008A36BA">
        <w:rPr>
          <w:b/>
          <w:bCs/>
        </w:rPr>
        <w:t xml:space="preserve"> Table A4. All parameters are obtained from Recommendation ITU-R M.2292-0.</w:t>
      </w:r>
    </w:p>
    <w:p w:rsidR="002E3A78" w:rsidRPr="008A36BA" w:rsidRDefault="002E3A78" w:rsidP="002E3A78">
      <w:pPr>
        <w:spacing w:after="120"/>
        <w:jc w:val="both"/>
      </w:pPr>
    </w:p>
    <w:p w:rsidR="00A11213" w:rsidRPr="008A36BA" w:rsidRDefault="003C2F7A" w:rsidP="00E94EBF">
      <w:pPr>
        <w:jc w:val="both"/>
      </w:pPr>
      <w:r w:rsidRPr="008A36BA">
        <w:t xml:space="preserve">The mobile user equipment (UE) duplex filter characteristics from a number of filter vendors </w:t>
      </w:r>
      <w:r w:rsidR="00631AE0">
        <w:t>were between</w:t>
      </w:r>
      <w:r w:rsidRPr="008A36BA">
        <w:t xml:space="preserve"> 15- 35 dB </w:t>
      </w:r>
      <w:r w:rsidR="00631AE0">
        <w:t>of</w:t>
      </w:r>
      <w:r w:rsidRPr="008A36BA">
        <w:t xml:space="preserve"> attenuation below 612 MHz. This analysis use</w:t>
      </w:r>
      <w:r w:rsidR="00CE55AC" w:rsidRPr="008A36BA">
        <w:t>s</w:t>
      </w:r>
      <w:r w:rsidRPr="008A36BA">
        <w:t xml:space="preserve"> an average value of 20 dB</w:t>
      </w:r>
      <w:r w:rsidR="00CE55AC" w:rsidRPr="008A36BA">
        <w:t xml:space="preserve"> attenuation.</w:t>
      </w:r>
      <w:r w:rsidRPr="008A36BA">
        <w:t xml:space="preserve"> </w:t>
      </w:r>
      <w:r w:rsidR="00A11213" w:rsidRPr="008A36BA">
        <w:t xml:space="preserve">This represents a conservative value amongst the range of duplexer </w:t>
      </w:r>
      <w:r w:rsidR="00CE55AC" w:rsidRPr="008A36BA">
        <w:t xml:space="preserve">filter </w:t>
      </w:r>
      <w:r w:rsidR="00A11213" w:rsidRPr="008A36BA">
        <w:t>attenuations. We expect that this value will improve further over time.</w:t>
      </w:r>
    </w:p>
    <w:p w:rsidR="00CE55AC" w:rsidRPr="008A36BA" w:rsidRDefault="00CE55AC" w:rsidP="00E94EBF">
      <w:pPr>
        <w:jc w:val="both"/>
      </w:pPr>
    </w:p>
    <w:p w:rsidR="002E3A78" w:rsidRPr="008A36BA" w:rsidRDefault="002E3A78" w:rsidP="00E94EBF">
      <w:pPr>
        <w:jc w:val="both"/>
      </w:pPr>
      <w:r w:rsidRPr="008A36BA">
        <w:t>From a propagation viewpoint, the desired links between the mobile BS transmitters to mobile UE receivers and the interfering links from the DTT transmitter to mobile UE receivers are modelled according to Recommendation ITU-R P.1546</w:t>
      </w:r>
      <w:r w:rsidR="00E32F6B" w:rsidRPr="008A36BA">
        <w:t xml:space="preserve">. </w:t>
      </w:r>
      <w:r w:rsidRPr="008A36BA">
        <w:t xml:space="preserve">Specifically, using the </w:t>
      </w:r>
      <w:r w:rsidRPr="008A36BA">
        <w:rPr>
          <w:i/>
          <w:iCs/>
        </w:rPr>
        <w:t>20 step procedure</w:t>
      </w:r>
      <w:r w:rsidRPr="008A36BA">
        <w:t xml:space="preserve"> detailed in Annex 6 of ITU-R P.1546, field strengths to mobile UEs from mobile BSs and DTT transmitter were computed. The computations were carried out using field strength values exceeded for 50% of time, using the relevant heights of the DTT transmitter, mobile BS transmitters, and mobile UE receivers, respectively. To retain generality, no specific terrain/clutter information was assumed while computing the field strengths. Following Table 2 of ITU-R P.1546, using the values of variability for 600 MHz DTT broadcasting, a log-normal shadow fading standard deviation of 5.5 dB was assumed on top of the fixed loss from the point of transmission to the point of reception. The field strengths were converted to an equivalent propagation path loss via application of equation (40) in ITU-R P.1546. A detailed list of the involved propagation parameters from ITU-R P.1546, along with their definitions and respective values used in the study are presented in Table </w:t>
      </w:r>
      <w:r w:rsidR="009968E8" w:rsidRPr="008A36BA">
        <w:t>A</w:t>
      </w:r>
      <w:r w:rsidR="00B130A8" w:rsidRPr="008A36BA">
        <w:t>5</w:t>
      </w:r>
      <w:r w:rsidRPr="008A36BA">
        <w:t xml:space="preserve"> </w:t>
      </w:r>
    </w:p>
    <w:p w:rsidR="002E3A78" w:rsidRPr="008A36BA" w:rsidRDefault="002E3A78" w:rsidP="002E3A78">
      <w:pPr>
        <w:spacing w:after="120"/>
        <w:jc w:val="both"/>
      </w:pPr>
    </w:p>
    <w:p w:rsidR="002E3A78" w:rsidRPr="008A36BA" w:rsidRDefault="002E3A78" w:rsidP="002E3A78">
      <w:pPr>
        <w:spacing w:after="120"/>
        <w:jc w:val="center"/>
        <w:rPr>
          <w:b/>
        </w:rPr>
      </w:pPr>
      <w:r w:rsidRPr="008A36BA">
        <w:rPr>
          <w:b/>
        </w:rPr>
        <w:t xml:space="preserve">Table </w:t>
      </w:r>
      <w:r w:rsidR="009968E8" w:rsidRPr="008A36BA">
        <w:rPr>
          <w:b/>
        </w:rPr>
        <w:t>A</w:t>
      </w:r>
      <w:r w:rsidR="00B130A8" w:rsidRPr="008A36BA">
        <w:rPr>
          <w:b/>
        </w:rPr>
        <w:t>5</w:t>
      </w:r>
      <w:r w:rsidR="009968E8" w:rsidRPr="008A36BA">
        <w:rPr>
          <w:b/>
        </w:rPr>
        <w:t xml:space="preserve"> </w:t>
      </w:r>
      <w:r w:rsidRPr="008A36BA">
        <w:rPr>
          <w:b/>
        </w:rPr>
        <w:t>– List of the involved propagation parameters, definitions and values used in the study from Recommendation ITU-R P.1546</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2E3A78" w:rsidRPr="008A36BA" w:rsidTr="002E3A78">
        <w:trPr>
          <w:cantSplit/>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E3A78" w:rsidRPr="008A36BA" w:rsidRDefault="002E3A78">
            <w:pPr>
              <w:pStyle w:val="Tablehead"/>
              <w:rPr>
                <w:lang w:val="en-NZ" w:eastAsia="en-GB"/>
              </w:rPr>
            </w:pPr>
            <w:bookmarkStart w:id="1" w:name="_Hlk97068120"/>
            <w:r w:rsidRPr="008A36BA">
              <w:rPr>
                <w:lang w:val="en-NZ" w:eastAsia="en-GB"/>
              </w:rPr>
              <w:t>Parameter</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E3A78" w:rsidRPr="008A36BA" w:rsidRDefault="002E3A78">
            <w:pPr>
              <w:pStyle w:val="Tablehead"/>
              <w:rPr>
                <w:lang w:val="en-NZ" w:eastAsia="en-GB"/>
              </w:rPr>
            </w:pPr>
            <w:r w:rsidRPr="008A36BA">
              <w:rPr>
                <w:lang w:val="en-NZ" w:eastAsia="en-GB"/>
              </w:rPr>
              <w:t xml:space="preserve">Definition </w:t>
            </w: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E3A78" w:rsidRPr="008A36BA" w:rsidRDefault="002E3A78">
            <w:pPr>
              <w:pStyle w:val="Tablehead"/>
              <w:rPr>
                <w:lang w:val="en-NZ" w:eastAsia="en-GB"/>
              </w:rPr>
            </w:pPr>
            <w:r w:rsidRPr="008A36BA">
              <w:rPr>
                <w:lang w:val="en-NZ" w:eastAsia="en-GB"/>
              </w:rPr>
              <w:t xml:space="preserve">Value </w:t>
            </w:r>
          </w:p>
        </w:tc>
      </w:tr>
      <w:tr w:rsidR="002E3A78" w:rsidRPr="008A36BA" w:rsidTr="002E3A78">
        <w:trPr>
          <w:trHeight w:val="158"/>
          <w:jc w:val="center"/>
        </w:trPr>
        <w:tc>
          <w:tcPr>
            <w:tcW w:w="2972" w:type="dxa"/>
            <w:vMerge w:val="restart"/>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eastAsia="en-GB"/>
              </w:rPr>
            </w:pPr>
            <w:r w:rsidRPr="008A36BA">
              <w:rPr>
                <w:i/>
                <w:iCs/>
                <w:lang w:val="en-NZ" w:eastAsia="en-GB"/>
              </w:rPr>
              <w:t xml:space="preserve">f </w:t>
            </w:r>
            <w:r w:rsidRPr="008A36BA">
              <w:rPr>
                <w:lang w:val="en-NZ" w:eastAsia="en-GB"/>
              </w:rPr>
              <w:t>[MHz]</w:t>
            </w:r>
          </w:p>
        </w:tc>
        <w:tc>
          <w:tcPr>
            <w:tcW w:w="2693" w:type="dxa"/>
            <w:vMerge w:val="restart"/>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Operating frequency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Mobile: Option specific frequency as presented in Table </w:t>
            </w:r>
            <w:r w:rsidR="009152B0" w:rsidRPr="008A36BA">
              <w:rPr>
                <w:lang w:val="en-NZ"/>
              </w:rPr>
              <w:t>A1</w:t>
            </w:r>
          </w:p>
        </w:tc>
        <w:bookmarkEnd w:id="1"/>
      </w:tr>
      <w:tr w:rsidR="002E3A78" w:rsidRPr="008A36BA" w:rsidTr="002E3A78">
        <w:trPr>
          <w:trHeight w:val="157"/>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DTT: Channel specific frequency as presented in Table </w:t>
            </w:r>
            <w:r w:rsidR="009152B0" w:rsidRPr="008A36BA">
              <w:rPr>
                <w:lang w:val="en-NZ"/>
              </w:rPr>
              <w:t>A1</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eastAsia="en-GB"/>
              </w:rPr>
            </w:pPr>
            <w:r w:rsidRPr="008A36BA">
              <w:rPr>
                <w:i/>
                <w:iCs/>
                <w:lang w:val="en-NZ" w:eastAsia="en-GB"/>
              </w:rPr>
              <w:t xml:space="preserve">d </w:t>
            </w:r>
            <w:r w:rsidRPr="008A36BA">
              <w:rPr>
                <w:lang w:val="en-NZ" w:eastAsia="en-GB"/>
              </w:rPr>
              <w:t>[km]</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Horizontal path length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Dependent on the mobile UE positions relative to the DTT transmitter and mobile BS transmitters. Special case: For path lengths &lt;1 km, Annex 15 is used to compute field strengths.  </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eastAsia="en-GB"/>
              </w:rPr>
            </w:pPr>
            <w:r w:rsidRPr="008A36BA">
              <w:rPr>
                <w:i/>
                <w:iCs/>
                <w:lang w:val="en-NZ" w:eastAsia="en-GB"/>
              </w:rPr>
              <w:t>p</w:t>
            </w:r>
            <w:r w:rsidRPr="008A36BA">
              <w:rPr>
                <w:lang w:val="en-NZ" w:eastAsia="en-GB"/>
              </w:rPr>
              <w:t xml:space="preserve"> [%]</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Percentage time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50%  </w:t>
            </w:r>
          </w:p>
        </w:tc>
      </w:tr>
      <w:tr w:rsidR="002E3A78" w:rsidRPr="008A36BA" w:rsidTr="002E3A78">
        <w:trPr>
          <w:trHeight w:val="270"/>
          <w:jc w:val="center"/>
        </w:trPr>
        <w:tc>
          <w:tcPr>
            <w:tcW w:w="2972" w:type="dxa"/>
            <w:vMerge w:val="restart"/>
            <w:tcBorders>
              <w:top w:val="single" w:sz="4" w:space="0" w:color="auto"/>
              <w:left w:val="single" w:sz="4" w:space="0" w:color="auto"/>
              <w:bottom w:val="single" w:sz="4" w:space="0" w:color="auto"/>
              <w:right w:val="single" w:sz="4" w:space="0" w:color="auto"/>
            </w:tcBorders>
            <w:hideMark/>
          </w:tcPr>
          <w:p w:rsidR="002E3A78" w:rsidRPr="008A36BA" w:rsidRDefault="0022225A">
            <w:pPr>
              <w:pStyle w:val="Tabletext"/>
              <w:jc w:val="center"/>
              <w:rPr>
                <w:lang w:val="en-NZ" w:eastAsia="en-GB"/>
              </w:rPr>
            </w:pPr>
            <m:oMath>
              <m:sSub>
                <m:sSubPr>
                  <m:ctrlPr>
                    <w:rPr>
                      <w:rFonts w:ascii="Cambria Math" w:hAnsi="Cambria Math"/>
                      <w:i/>
                      <w:iCs/>
                      <w:lang w:val="en-NZ" w:eastAsia="en-GB"/>
                    </w:rPr>
                  </m:ctrlPr>
                </m:sSubPr>
                <m:e>
                  <m:r>
                    <w:rPr>
                      <w:rFonts w:ascii="Cambria Math" w:hAnsi="Cambria Math"/>
                      <w:lang w:val="en-NZ" w:eastAsia="en-GB"/>
                    </w:rPr>
                    <m:t>h</m:t>
                  </m:r>
                </m:e>
                <m:sub>
                  <m:r>
                    <w:rPr>
                      <w:rFonts w:ascii="Cambria Math" w:hAnsi="Cambria Math"/>
                      <w:lang w:val="en-NZ" w:eastAsia="en-GB"/>
                    </w:rPr>
                    <m:t>1</m:t>
                  </m:r>
                </m:sub>
              </m:sSub>
            </m:oMath>
            <w:r w:rsidR="002E3A78" w:rsidRPr="008A36BA">
              <w:rPr>
                <w:lang w:val="en-NZ" w:eastAsia="en-GB"/>
              </w:rPr>
              <w:t xml:space="preserve"> [m]</w:t>
            </w:r>
          </w:p>
        </w:tc>
        <w:tc>
          <w:tcPr>
            <w:tcW w:w="2693" w:type="dxa"/>
            <w:vMerge w:val="restart"/>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 xml:space="preserve">DTT transmitter or mobile BS height for land paths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Mobile</w:t>
            </w:r>
            <w:r w:rsidRPr="008A36BA">
              <w:rPr>
                <w:i/>
                <w:iCs/>
                <w:lang w:val="en-NZ"/>
              </w:rPr>
              <w:t xml:space="preserve"> </w:t>
            </w:r>
            <w:r w:rsidRPr="008A36BA">
              <w:rPr>
                <w:lang w:val="en-NZ"/>
              </w:rPr>
              <w:t>BSs: 30 m</w:t>
            </w:r>
          </w:p>
        </w:tc>
      </w:tr>
      <w:tr w:rsidR="002E3A78" w:rsidRPr="008A36BA" w:rsidTr="002E3A78">
        <w:trPr>
          <w:trHeight w:val="270"/>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E3A78" w:rsidRPr="008A36BA" w:rsidRDefault="002E3A78">
            <w:pPr>
              <w:rPr>
                <w:rFonts w:eastAsia="Times New Roman"/>
                <w:sz w:val="20"/>
                <w:szCs w:val="20"/>
              </w:rPr>
            </w:pP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DTT</w:t>
            </w:r>
            <w:r w:rsidRPr="008A36BA">
              <w:rPr>
                <w:i/>
                <w:iCs/>
                <w:lang w:val="en-NZ"/>
              </w:rPr>
              <w:t xml:space="preserve"> </w:t>
            </w:r>
            <w:r w:rsidRPr="008A36BA">
              <w:rPr>
                <w:lang w:val="en-NZ"/>
              </w:rPr>
              <w:t>transmitter: 300 m</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2225A">
            <w:pPr>
              <w:pStyle w:val="Tabletext"/>
              <w:jc w:val="center"/>
              <w:rPr>
                <w:lang w:val="en-NZ" w:eastAsia="en-GB"/>
              </w:rPr>
            </w:pPr>
            <m:oMath>
              <m:sSub>
                <m:sSubPr>
                  <m:ctrlPr>
                    <w:rPr>
                      <w:rFonts w:ascii="Cambria Math" w:hAnsi="Cambria Math"/>
                      <w:i/>
                      <w:iCs/>
                      <w:lang w:val="en-NZ" w:eastAsia="en-GB"/>
                    </w:rPr>
                  </m:ctrlPr>
                </m:sSubPr>
                <m:e>
                  <m:r>
                    <w:rPr>
                      <w:rFonts w:ascii="Cambria Math" w:hAnsi="Cambria Math"/>
                      <w:lang w:val="en-NZ" w:eastAsia="en-GB"/>
                    </w:rPr>
                    <m:t>h</m:t>
                  </m:r>
                </m:e>
                <m:sub>
                  <m:r>
                    <w:rPr>
                      <w:rFonts w:ascii="Cambria Math" w:hAnsi="Cambria Math"/>
                      <w:lang w:val="en-NZ" w:eastAsia="en-GB"/>
                    </w:rPr>
                    <m:t>a</m:t>
                  </m:r>
                </m:sub>
              </m:sSub>
            </m:oMath>
            <w:r w:rsidR="002E3A78" w:rsidRPr="008A36BA">
              <w:rPr>
                <w:lang w:val="en-NZ" w:eastAsia="en-GB"/>
              </w:rPr>
              <w:t xml:space="preserve"> [m]</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color w:val="000000" w:themeColor="text1"/>
                <w:szCs w:val="24"/>
                <w:highlight w:val="yellow"/>
                <w:lang w:val="en-NZ" w:eastAsia="en-GB"/>
              </w:rPr>
            </w:pPr>
            <w:r w:rsidRPr="008A36BA">
              <w:rPr>
                <w:color w:val="000000" w:themeColor="text1"/>
                <w:szCs w:val="24"/>
                <w:lang w:val="en-NZ" w:eastAsia="en-GB"/>
              </w:rPr>
              <w:t xml:space="preserve">DTT transmitter height a.g.l.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200 m</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2225A">
            <w:pPr>
              <w:pStyle w:val="Tabletext"/>
              <w:jc w:val="center"/>
              <w:rPr>
                <w:lang w:val="en-NZ"/>
              </w:rPr>
            </w:pPr>
            <m:oMath>
              <m:sSub>
                <m:sSubPr>
                  <m:ctrlPr>
                    <w:rPr>
                      <w:rFonts w:ascii="Cambria Math" w:hAnsi="Cambria Math"/>
                      <w:i/>
                      <w:iCs/>
                      <w:lang w:val="en-NZ"/>
                    </w:rPr>
                  </m:ctrlPr>
                </m:sSubPr>
                <m:e>
                  <m:r>
                    <w:rPr>
                      <w:rFonts w:ascii="Cambria Math" w:hAnsi="Cambria Math"/>
                      <w:lang w:val="en-NZ"/>
                    </w:rPr>
                    <m:t>h</m:t>
                  </m:r>
                </m:e>
                <m:sub>
                  <m:r>
                    <w:rPr>
                      <w:rFonts w:ascii="Cambria Math" w:hAnsi="Cambria Math"/>
                      <w:lang w:val="en-NZ"/>
                    </w:rPr>
                    <m:t>2</m:t>
                  </m:r>
                </m:sub>
              </m:sSub>
            </m:oMath>
            <w:r w:rsidR="002E3A78" w:rsidRPr="008A36BA">
              <w:rPr>
                <w:lang w:val="en-NZ"/>
              </w:rPr>
              <w:t xml:space="preserve"> [m]</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rFonts w:eastAsia="MS Mincho"/>
                <w:lang w:val="en-NZ" w:eastAsia="ja-JP"/>
              </w:rPr>
            </w:pPr>
            <w:r w:rsidRPr="008A36BA">
              <w:rPr>
                <w:rFonts w:eastAsia="MS Mincho"/>
                <w:lang w:val="en-NZ" w:eastAsia="ja-JP"/>
              </w:rPr>
              <w:t>Height of mobile UE antenna</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rFonts w:eastAsia="MS Mincho"/>
                <w:lang w:val="en-NZ" w:eastAsia="ja-JP"/>
              </w:rPr>
            </w:pPr>
            <w:r w:rsidRPr="008A36BA">
              <w:rPr>
                <w:rFonts w:eastAsia="MS Mincho"/>
                <w:lang w:val="en-NZ" w:eastAsia="ja-JP"/>
              </w:rPr>
              <w:t>1.5 m</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2225A">
            <w:pPr>
              <w:pStyle w:val="Tabletext"/>
              <w:jc w:val="center"/>
              <w:rPr>
                <w:lang w:val="en-NZ"/>
              </w:rPr>
            </w:pPr>
            <m:oMath>
              <m:sSub>
                <m:sSubPr>
                  <m:ctrlPr>
                    <w:rPr>
                      <w:rFonts w:ascii="Cambria Math" w:hAnsi="Cambria Math"/>
                      <w:i/>
                      <w:iCs/>
                      <w:lang w:val="en-NZ"/>
                    </w:rPr>
                  </m:ctrlPr>
                </m:sSubPr>
                <m:e>
                  <m:r>
                    <w:rPr>
                      <w:rFonts w:ascii="Cambria Math" w:hAnsi="Cambria Math"/>
                      <w:lang w:val="en-NZ"/>
                    </w:rPr>
                    <m:t>R</m:t>
                  </m:r>
                </m:e>
                <m:sub>
                  <m:r>
                    <w:rPr>
                      <w:rFonts w:ascii="Cambria Math" w:hAnsi="Cambria Math"/>
                      <w:lang w:val="en-NZ"/>
                    </w:rPr>
                    <m:t>1</m:t>
                  </m:r>
                </m:sub>
              </m:sSub>
            </m:oMath>
            <w:r w:rsidR="002E3A78" w:rsidRPr="008A36BA">
              <w:rPr>
                <w:lang w:val="en-NZ"/>
              </w:rPr>
              <w:t xml:space="preserve"> [m]</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rFonts w:eastAsia="MS Mincho"/>
                <w:highlight w:val="yellow"/>
                <w:lang w:val="en-NZ" w:eastAsia="ja-JP"/>
              </w:rPr>
            </w:pPr>
            <w:r w:rsidRPr="008A36BA">
              <w:rPr>
                <w:rFonts w:eastAsia="MS Mincho"/>
                <w:lang w:val="en-NZ" w:eastAsia="ja-JP"/>
              </w:rPr>
              <w:t xml:space="preserve">Representative clutter height around DTT transmitter and mobile BS transmitters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10 m</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2225A">
            <w:pPr>
              <w:pStyle w:val="Tabletext"/>
              <w:jc w:val="center"/>
              <w:rPr>
                <w:rFonts w:eastAsia="BatangChe"/>
                <w:iCs/>
                <w:lang w:val="en-NZ"/>
              </w:rPr>
            </w:pPr>
            <m:oMath>
              <m:sSub>
                <m:sSubPr>
                  <m:ctrlPr>
                    <w:rPr>
                      <w:rFonts w:ascii="Cambria Math" w:hAnsi="Cambria Math"/>
                      <w:i/>
                      <w:iCs/>
                      <w:lang w:val="en-NZ"/>
                    </w:rPr>
                  </m:ctrlPr>
                </m:sSubPr>
                <m:e>
                  <m:r>
                    <w:rPr>
                      <w:rFonts w:ascii="Cambria Math" w:hAnsi="Cambria Math"/>
                      <w:lang w:val="en-NZ"/>
                    </w:rPr>
                    <m:t>R</m:t>
                  </m:r>
                </m:e>
                <m:sub>
                  <m:r>
                    <w:rPr>
                      <w:rFonts w:ascii="Cambria Math" w:hAnsi="Cambria Math"/>
                      <w:lang w:val="en-NZ"/>
                    </w:rPr>
                    <m:t>2</m:t>
                  </m:r>
                </m:sub>
              </m:sSub>
            </m:oMath>
            <w:r w:rsidR="002E3A78" w:rsidRPr="008A36BA">
              <w:rPr>
                <w:lang w:val="en-NZ"/>
              </w:rPr>
              <w:t xml:space="preserve"> [m]</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rFonts w:eastAsia="MS Mincho"/>
                <w:lang w:val="en-NZ" w:eastAsia="ja-JP"/>
              </w:rPr>
            </w:pPr>
            <w:r w:rsidRPr="008A36BA">
              <w:rPr>
                <w:rFonts w:eastAsia="MS Mincho"/>
                <w:lang w:val="en-NZ" w:eastAsia="ja-JP"/>
              </w:rPr>
              <w:t>Representative clutter height around mobile UE receivers</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1 m</w:t>
            </w:r>
          </w:p>
        </w:tc>
      </w:tr>
      <w:tr w:rsidR="002E3A78" w:rsidRPr="008A36BA" w:rsidTr="002E3A78">
        <w:trPr>
          <w:jc w:val="center"/>
        </w:trPr>
        <w:tc>
          <w:tcPr>
            <w:tcW w:w="2972" w:type="dxa"/>
            <w:tcBorders>
              <w:top w:val="single" w:sz="4" w:space="0" w:color="auto"/>
              <w:left w:val="single" w:sz="4" w:space="0" w:color="auto"/>
              <w:bottom w:val="single" w:sz="4" w:space="0" w:color="auto"/>
              <w:right w:val="single" w:sz="4" w:space="0" w:color="auto"/>
            </w:tcBorders>
            <w:hideMark/>
          </w:tcPr>
          <w:p w:rsidR="002E3A78" w:rsidRPr="008A36BA" w:rsidRDefault="0022225A">
            <w:pPr>
              <w:pStyle w:val="Tabletext"/>
              <w:jc w:val="center"/>
              <w:rPr>
                <w:rFonts w:eastAsia="BatangChe"/>
                <w:iCs/>
                <w:lang w:val="en-NZ"/>
              </w:rPr>
            </w:pPr>
            <m:oMath>
              <m:sSub>
                <m:sSubPr>
                  <m:ctrlPr>
                    <w:rPr>
                      <w:rFonts w:ascii="Cambria Math" w:hAnsi="Cambria Math"/>
                      <w:i/>
                      <w:iCs/>
                      <w:lang w:val="en-NZ" w:eastAsia="en-GB"/>
                    </w:rPr>
                  </m:ctrlPr>
                </m:sSubPr>
                <m:e>
                  <m:r>
                    <w:rPr>
                      <w:rFonts w:ascii="Cambria Math" w:hAnsi="Cambria Math"/>
                      <w:lang w:val="en-NZ" w:eastAsia="en-GB"/>
                    </w:rPr>
                    <m:t>S</m:t>
                  </m:r>
                </m:e>
                <m:sub>
                  <m:r>
                    <w:rPr>
                      <w:rFonts w:ascii="Cambria Math" w:hAnsi="Cambria Math"/>
                      <w:lang w:val="en-NZ" w:eastAsia="en-GB"/>
                    </w:rPr>
                    <m:t>σ</m:t>
                  </m:r>
                </m:sub>
              </m:sSub>
            </m:oMath>
            <w:r w:rsidR="002E3A78" w:rsidRPr="008A36BA">
              <w:rPr>
                <w:rFonts w:eastAsia="BatangChe"/>
                <w:iCs/>
                <w:lang w:val="en-NZ" w:eastAsia="en-GB"/>
              </w:rPr>
              <w:t>[dB]</w:t>
            </w:r>
          </w:p>
        </w:tc>
        <w:tc>
          <w:tcPr>
            <w:tcW w:w="2693"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rFonts w:eastAsia="MS Mincho"/>
                <w:lang w:val="en-NZ" w:eastAsia="ja-JP"/>
              </w:rPr>
            </w:pPr>
            <w:r w:rsidRPr="008A36BA">
              <w:rPr>
                <w:rFonts w:eastAsia="MS Mincho"/>
                <w:lang w:val="en-NZ" w:eastAsia="ja-JP"/>
              </w:rPr>
              <w:t xml:space="preserve">Shadowing standard deviation </w:t>
            </w:r>
          </w:p>
        </w:tc>
        <w:tc>
          <w:tcPr>
            <w:tcW w:w="2694" w:type="dxa"/>
            <w:tcBorders>
              <w:top w:val="single" w:sz="4" w:space="0" w:color="auto"/>
              <w:left w:val="single" w:sz="4" w:space="0" w:color="auto"/>
              <w:bottom w:val="single" w:sz="4" w:space="0" w:color="auto"/>
              <w:right w:val="single" w:sz="4" w:space="0" w:color="auto"/>
            </w:tcBorders>
            <w:hideMark/>
          </w:tcPr>
          <w:p w:rsidR="002E3A78" w:rsidRPr="008A36BA" w:rsidRDefault="002E3A78">
            <w:pPr>
              <w:pStyle w:val="Tabletext"/>
              <w:jc w:val="center"/>
              <w:rPr>
                <w:lang w:val="en-NZ"/>
              </w:rPr>
            </w:pPr>
            <w:r w:rsidRPr="008A36BA">
              <w:rPr>
                <w:lang w:val="en-NZ"/>
              </w:rPr>
              <w:t>5.5 dB</w:t>
            </w:r>
          </w:p>
        </w:tc>
      </w:tr>
    </w:tbl>
    <w:p w:rsidR="002E3A78" w:rsidRPr="008A36BA" w:rsidRDefault="002E3A78" w:rsidP="002E3A78">
      <w:pPr>
        <w:spacing w:after="120"/>
        <w:jc w:val="both"/>
      </w:pPr>
    </w:p>
    <w:p w:rsidR="002E3A78" w:rsidRPr="008A36BA" w:rsidRDefault="002E3A78" w:rsidP="002E3A78">
      <w:pPr>
        <w:spacing w:after="120"/>
        <w:jc w:val="both"/>
      </w:pPr>
      <w:r w:rsidRPr="008A36BA">
        <w:t xml:space="preserve">In </w:t>
      </w:r>
      <w:r w:rsidR="005E0349" w:rsidRPr="008A36BA">
        <w:t>section 3</w:t>
      </w:r>
      <w:r w:rsidRPr="008A36BA">
        <w:t xml:space="preserve"> an overview of the conducted technical analysis, as well as outline the description of the analysis methodology which contains an overview of the performed Monte-Carlo numerical simulations for assessing the co-existence performance under a guard band of 4 MHz. </w:t>
      </w:r>
    </w:p>
    <w:p w:rsidR="00622D61" w:rsidRPr="008A36BA" w:rsidRDefault="00622D61" w:rsidP="002E3A78">
      <w:pPr>
        <w:spacing w:after="120"/>
        <w:jc w:val="both"/>
        <w:rPr>
          <w:b/>
          <w:bCs/>
        </w:rPr>
      </w:pPr>
    </w:p>
    <w:p w:rsidR="002E3A78" w:rsidRPr="008A36BA" w:rsidRDefault="002E3A78" w:rsidP="00E94EBF">
      <w:pPr>
        <w:pStyle w:val="ListParagraph"/>
        <w:numPr>
          <w:ilvl w:val="0"/>
          <w:numId w:val="36"/>
        </w:numPr>
        <w:spacing w:after="120"/>
        <w:jc w:val="both"/>
        <w:rPr>
          <w:b/>
          <w:sz w:val="28"/>
          <w:szCs w:val="28"/>
        </w:rPr>
      </w:pPr>
      <w:r w:rsidRPr="008A36BA">
        <w:rPr>
          <w:b/>
          <w:sz w:val="28"/>
          <w:szCs w:val="28"/>
        </w:rPr>
        <w:t>Technical Analysis</w:t>
      </w:r>
    </w:p>
    <w:p w:rsidR="002E3A78" w:rsidRPr="008A36BA" w:rsidRDefault="002E3A78" w:rsidP="002E3A78">
      <w:pPr>
        <w:spacing w:after="120"/>
        <w:jc w:val="both"/>
        <w:rPr>
          <w:b/>
          <w:bCs/>
        </w:rPr>
      </w:pPr>
      <w:r w:rsidRPr="008A36BA">
        <w:t xml:space="preserve">To evaluate the co-existence performance between DTT and mobile systems having a guard band of 4 MHz, the co-existence scenario shown in Figure </w:t>
      </w:r>
      <w:r w:rsidR="009968E8" w:rsidRPr="008A36BA">
        <w:t>A3</w:t>
      </w:r>
      <w:r w:rsidR="00631AE0">
        <w:t xml:space="preserve"> was designed</w:t>
      </w:r>
      <w:r w:rsidRPr="008A36BA">
        <w:t xml:space="preserve">. The figure illustrates the interference arising from DTT transmission into the mobile UE receive band and shows the concept of guard band in co-existence of both systems.  </w:t>
      </w:r>
    </w:p>
    <w:p w:rsidR="002E3A78" w:rsidRPr="008A36BA" w:rsidRDefault="002E3A78" w:rsidP="002E3A78">
      <w:pPr>
        <w:spacing w:after="120"/>
        <w:jc w:val="both"/>
      </w:pPr>
      <w:r w:rsidRPr="008A36BA">
        <w:rPr>
          <w:noProof/>
        </w:rPr>
        <w:drawing>
          <wp:anchor distT="0" distB="0" distL="114300" distR="114300" simplePos="0" relativeHeight="251659264" behindDoc="1" locked="0" layoutInCell="1" allowOverlap="1" wp14:anchorId="75CDF819" wp14:editId="38BEB4FA">
            <wp:simplePos x="0" y="0"/>
            <wp:positionH relativeFrom="page">
              <wp:posOffset>1390650</wp:posOffset>
            </wp:positionH>
            <wp:positionV relativeFrom="paragraph">
              <wp:posOffset>24130</wp:posOffset>
            </wp:positionV>
            <wp:extent cx="4956810" cy="1571625"/>
            <wp:effectExtent l="0" t="0" r="0" b="9525"/>
            <wp:wrapTight wrapText="bothSides">
              <wp:wrapPolygon edited="0">
                <wp:start x="5728" y="0"/>
                <wp:lineTo x="5728" y="2095"/>
                <wp:lineTo x="6475" y="4189"/>
                <wp:lineTo x="7222" y="4189"/>
                <wp:lineTo x="0" y="5236"/>
                <wp:lineTo x="0" y="18589"/>
                <wp:lineTo x="7886" y="20945"/>
                <wp:lineTo x="7969" y="21469"/>
                <wp:lineTo x="15855" y="21469"/>
                <wp:lineTo x="15855" y="20945"/>
                <wp:lineTo x="21500" y="18589"/>
                <wp:lineTo x="21500" y="11520"/>
                <wp:lineTo x="18263" y="8378"/>
                <wp:lineTo x="21500" y="8378"/>
                <wp:lineTo x="21500" y="5236"/>
                <wp:lineTo x="7637" y="4189"/>
                <wp:lineTo x="8301" y="4189"/>
                <wp:lineTo x="9131" y="1833"/>
                <wp:lineTo x="9048" y="0"/>
                <wp:lineTo x="5728"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6810" cy="1571625"/>
                    </a:xfrm>
                    <a:prstGeom prst="rect">
                      <a:avLst/>
                    </a:prstGeom>
                    <a:noFill/>
                  </pic:spPr>
                </pic:pic>
              </a:graphicData>
            </a:graphic>
            <wp14:sizeRelH relativeFrom="margin">
              <wp14:pctWidth>0</wp14:pctWidth>
            </wp14:sizeRelH>
            <wp14:sizeRelV relativeFrom="margin">
              <wp14:pctHeight>0</wp14:pctHeight>
            </wp14:sizeRelV>
          </wp:anchor>
        </w:drawing>
      </w: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both"/>
      </w:pPr>
    </w:p>
    <w:p w:rsidR="002E3A78" w:rsidRPr="008A36BA" w:rsidRDefault="002E3A78" w:rsidP="002E3A78">
      <w:pPr>
        <w:spacing w:after="120"/>
        <w:jc w:val="center"/>
        <w:rPr>
          <w:b/>
          <w:bCs/>
        </w:rPr>
      </w:pPr>
      <w:r w:rsidRPr="008A36BA">
        <w:rPr>
          <w:b/>
          <w:bCs/>
        </w:rPr>
        <w:t xml:space="preserve">Figure </w:t>
      </w:r>
      <w:r w:rsidR="009968E8" w:rsidRPr="008A36BA">
        <w:rPr>
          <w:b/>
          <w:bCs/>
        </w:rPr>
        <w:t xml:space="preserve">A3 </w:t>
      </w:r>
      <w:r w:rsidRPr="008A36BA">
        <w:rPr>
          <w:b/>
          <w:bCs/>
        </w:rPr>
        <w:t>– DTT and mobile system co-existence in the 600 MHz bands, with an illustration of the interference arising from DTT transmitter into the mobile UE receive band. The guard band concept is also illustrated between both systems for successful co-existence.</w:t>
      </w:r>
    </w:p>
    <w:p w:rsidR="002E3A78" w:rsidRPr="008A36BA" w:rsidRDefault="002E3A78" w:rsidP="002E3A78">
      <w:pPr>
        <w:spacing w:after="120"/>
      </w:pPr>
    </w:p>
    <w:p w:rsidR="002E3A78" w:rsidRPr="008A36BA" w:rsidRDefault="002E3A78" w:rsidP="00E94EBF">
      <w:pPr>
        <w:spacing w:after="120"/>
        <w:jc w:val="both"/>
      </w:pPr>
      <w:r w:rsidRPr="008A36BA">
        <w:t xml:space="preserve">Using the mobile band plan options B1 and B2 presented in Table </w:t>
      </w:r>
      <w:r w:rsidR="00817790" w:rsidRPr="008A36BA">
        <w:t>A1</w:t>
      </w:r>
      <w:r w:rsidRPr="008A36BA">
        <w:t xml:space="preserve">, a co-existence study for DTT transmission into mobile UE receive bands </w:t>
      </w:r>
      <w:r w:rsidR="00631AE0">
        <w:t xml:space="preserve">was conducted </w:t>
      </w:r>
      <w:r w:rsidRPr="008A36BA">
        <w:t>on three different TV channel spacings of 6, 7, and 8 MHz use</w:t>
      </w:r>
      <w:r w:rsidR="00631AE0">
        <w:t>d</w:t>
      </w:r>
      <w:r w:rsidRPr="008A36BA">
        <w:t xml:space="preserve"> in the APT region. The co-existence scenario in Figure </w:t>
      </w:r>
      <w:r w:rsidR="009968E8" w:rsidRPr="008A36BA">
        <w:t xml:space="preserve">A3 </w:t>
      </w:r>
      <w:r w:rsidRPr="008A36BA">
        <w:t xml:space="preserve">is translated to the one </w:t>
      </w:r>
      <w:r w:rsidR="00631AE0">
        <w:t>shown</w:t>
      </w:r>
      <w:r w:rsidRPr="008A36BA">
        <w:t xml:space="preserve"> in Figure </w:t>
      </w:r>
      <w:r w:rsidR="00817790" w:rsidRPr="008A36BA">
        <w:t>A</w:t>
      </w:r>
      <w:r w:rsidR="00631AE0">
        <w:t>4</w:t>
      </w:r>
      <w:r w:rsidRPr="008A36BA">
        <w:t xml:space="preserve">, where the grid of mobile BSs extends across the DTT coverage area. Based on this model of the system, a numerical Monte-Carlo simulation was designed with the stagewise methodology described as follows. Note that the respective computations required within each stage are also described with reference to the earlier discussed Technical Characteristics where appropriate. </w:t>
      </w:r>
    </w:p>
    <w:p w:rsidR="00E94EBF" w:rsidRPr="008A36BA" w:rsidRDefault="00E94EBF" w:rsidP="00E94EBF">
      <w:pPr>
        <w:spacing w:after="120"/>
        <w:jc w:val="both"/>
      </w:pPr>
      <w:r w:rsidRPr="008A36BA">
        <w:rPr>
          <w:noProof/>
        </w:rPr>
        <w:drawing>
          <wp:anchor distT="0" distB="0" distL="114300" distR="114300" simplePos="0" relativeHeight="251660288" behindDoc="1" locked="0" layoutInCell="1" allowOverlap="1" wp14:anchorId="79B3DD20" wp14:editId="3081C6D5">
            <wp:simplePos x="0" y="0"/>
            <wp:positionH relativeFrom="margin">
              <wp:posOffset>123190</wp:posOffset>
            </wp:positionH>
            <wp:positionV relativeFrom="paragraph">
              <wp:posOffset>299085</wp:posOffset>
            </wp:positionV>
            <wp:extent cx="5387340" cy="3769360"/>
            <wp:effectExtent l="0" t="0" r="3810" b="254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7340" cy="3769360"/>
                    </a:xfrm>
                    <a:prstGeom prst="rect">
                      <a:avLst/>
                    </a:prstGeom>
                    <a:noFill/>
                  </pic:spPr>
                </pic:pic>
              </a:graphicData>
            </a:graphic>
            <wp14:sizeRelH relativeFrom="margin">
              <wp14:pctWidth>0</wp14:pctWidth>
            </wp14:sizeRelH>
            <wp14:sizeRelV relativeFrom="margin">
              <wp14:pctHeight>0</wp14:pctHeight>
            </wp14:sizeRelV>
          </wp:anchor>
        </w:drawing>
      </w:r>
    </w:p>
    <w:p w:rsidR="002E3A78" w:rsidRPr="008A36BA" w:rsidRDefault="002E3A78" w:rsidP="002E3A78">
      <w:pPr>
        <w:spacing w:after="120"/>
        <w:jc w:val="center"/>
        <w:rPr>
          <w:b/>
          <w:bCs/>
        </w:rPr>
      </w:pPr>
      <w:r w:rsidRPr="008A36BA">
        <w:rPr>
          <w:b/>
          <w:bCs/>
        </w:rPr>
        <w:t xml:space="preserve">Figure </w:t>
      </w:r>
      <w:r w:rsidR="00817790" w:rsidRPr="008A36BA">
        <w:rPr>
          <w:b/>
          <w:bCs/>
        </w:rPr>
        <w:t>A</w:t>
      </w:r>
      <w:r w:rsidR="00631AE0">
        <w:rPr>
          <w:b/>
          <w:bCs/>
        </w:rPr>
        <w:t>4</w:t>
      </w:r>
      <w:r w:rsidR="00817790" w:rsidRPr="008A36BA">
        <w:rPr>
          <w:b/>
          <w:bCs/>
        </w:rPr>
        <w:t xml:space="preserve"> </w:t>
      </w:r>
      <w:r w:rsidRPr="008A36BA">
        <w:rPr>
          <w:b/>
          <w:bCs/>
        </w:rPr>
        <w:t>– Overlaid mobile BSs and UEs in the DTT coverage area for co-existence performance evaluations considering mobile band options B1 and B2 and 6, 7, and 8 MHz spaced DTT channels in the APT region.</w:t>
      </w:r>
    </w:p>
    <w:p w:rsidR="002E3A78" w:rsidRPr="008A36BA" w:rsidRDefault="002E3A78">
      <w:pPr>
        <w:pStyle w:val="ListParagraph"/>
        <w:numPr>
          <w:ilvl w:val="1"/>
          <w:numId w:val="36"/>
        </w:numPr>
        <w:spacing w:after="120"/>
        <w:jc w:val="both"/>
        <w:rPr>
          <w:b/>
          <w:sz w:val="28"/>
          <w:szCs w:val="28"/>
        </w:rPr>
      </w:pPr>
      <w:r w:rsidRPr="008A36BA">
        <w:rPr>
          <w:b/>
          <w:sz w:val="28"/>
          <w:szCs w:val="28"/>
        </w:rPr>
        <w:t>Stagewise Monte-Carlo Simulation Methodology</w:t>
      </w:r>
    </w:p>
    <w:p w:rsidR="005E0349" w:rsidRPr="008A36BA" w:rsidRDefault="005E0349" w:rsidP="0069379D">
      <w:pPr>
        <w:spacing w:after="120"/>
        <w:jc w:val="both"/>
        <w:rPr>
          <w:b/>
          <w:sz w:val="28"/>
          <w:szCs w:val="28"/>
        </w:rPr>
      </w:pPr>
    </w:p>
    <w:p w:rsidR="002E3A78" w:rsidRPr="008A36BA" w:rsidRDefault="002E3A78" w:rsidP="002E3A78">
      <w:pPr>
        <w:spacing w:after="120"/>
        <w:jc w:val="both"/>
        <w:rPr>
          <w:b/>
          <w:bCs/>
        </w:rPr>
      </w:pPr>
      <w:r w:rsidRPr="008A36BA">
        <w:rPr>
          <w:b/>
          <w:bCs/>
        </w:rPr>
        <w:t xml:space="preserve">Stage 1. System setup: </w:t>
      </w:r>
    </w:p>
    <w:p w:rsidR="002E3A78" w:rsidRPr="008A36BA" w:rsidRDefault="002E3A78" w:rsidP="002E3A78">
      <w:pPr>
        <w:pStyle w:val="ListParagraph"/>
        <w:numPr>
          <w:ilvl w:val="0"/>
          <w:numId w:val="32"/>
        </w:numPr>
        <w:spacing w:after="120"/>
        <w:jc w:val="both"/>
      </w:pPr>
      <w:r w:rsidRPr="008A36BA">
        <w:t>Define and initiali</w:t>
      </w:r>
      <w:r w:rsidR="008A4BE5">
        <w:t>s</w:t>
      </w:r>
      <w:r w:rsidRPr="008A36BA">
        <w:t xml:space="preserve">e the relevant DTT transmitter, mobile transmitter, and mobile UE receiver parameters to be used in the simulations from their technical characteristics and assumptions stated in Tables </w:t>
      </w:r>
      <w:r w:rsidR="00817790" w:rsidRPr="008A36BA">
        <w:t>A2</w:t>
      </w:r>
      <w:r w:rsidRPr="008A36BA">
        <w:t xml:space="preserve">, </w:t>
      </w:r>
      <w:r w:rsidR="00817790" w:rsidRPr="008A36BA">
        <w:t>A3</w:t>
      </w:r>
      <w:r w:rsidRPr="008A36BA">
        <w:t xml:space="preserve">, </w:t>
      </w:r>
      <w:r w:rsidR="00817790" w:rsidRPr="008A36BA">
        <w:t>A4</w:t>
      </w:r>
      <w:r w:rsidRPr="008A36BA">
        <w:t xml:space="preserve">, and </w:t>
      </w:r>
      <w:r w:rsidR="00817790" w:rsidRPr="008A36BA">
        <w:t>A5</w:t>
      </w:r>
      <w:r w:rsidRPr="008A36BA">
        <w:t xml:space="preserve">. </w:t>
      </w:r>
    </w:p>
    <w:p w:rsidR="002E3A78" w:rsidRPr="008A36BA" w:rsidRDefault="002E3A78" w:rsidP="002E3A78">
      <w:pPr>
        <w:pStyle w:val="ListParagraph"/>
        <w:numPr>
          <w:ilvl w:val="0"/>
          <w:numId w:val="32"/>
        </w:numPr>
        <w:spacing w:after="120"/>
        <w:jc w:val="both"/>
      </w:pPr>
      <w:r w:rsidRPr="008A36BA">
        <w:t xml:space="preserve">Place the DTT transmitter at the origin position of its circular coverage area with its radius and radiation characteristics specified in Table </w:t>
      </w:r>
      <w:r w:rsidR="009152B0" w:rsidRPr="008A36BA">
        <w:t>A2</w:t>
      </w:r>
      <w:r w:rsidRPr="008A36BA">
        <w:t xml:space="preserve">. </w:t>
      </w:r>
    </w:p>
    <w:p w:rsidR="002E3A78" w:rsidRPr="008A36BA" w:rsidRDefault="002E3A78" w:rsidP="002E3A78">
      <w:pPr>
        <w:pStyle w:val="ListParagraph"/>
        <w:numPr>
          <w:ilvl w:val="0"/>
          <w:numId w:val="32"/>
        </w:numPr>
        <w:spacing w:after="120"/>
        <w:jc w:val="both"/>
      </w:pPr>
      <w:r w:rsidRPr="008A36BA">
        <w:t>Overlay mobile BS transmitters at the origin of each hexagonal cell structure within the DTT coverage area having the rural macro parameters</w:t>
      </w:r>
      <w:r w:rsidR="00AC7540" w:rsidRPr="008A36BA">
        <w:t xml:space="preserve"> given</w:t>
      </w:r>
      <w:r w:rsidRPr="008A36BA">
        <w:t xml:space="preserve"> in Table </w:t>
      </w:r>
      <w:r w:rsidR="00817790" w:rsidRPr="008A36BA">
        <w:t>A3</w:t>
      </w:r>
      <w:r w:rsidRPr="008A36BA">
        <w:t xml:space="preserve">. Fix the locations of the mobile BSs. </w:t>
      </w:r>
    </w:p>
    <w:p w:rsidR="002E3A78" w:rsidRPr="008A36BA" w:rsidRDefault="002E3A78" w:rsidP="002E3A78">
      <w:pPr>
        <w:pStyle w:val="ListParagraph"/>
        <w:numPr>
          <w:ilvl w:val="0"/>
          <w:numId w:val="32"/>
        </w:numPr>
        <w:spacing w:after="120"/>
        <w:jc w:val="both"/>
      </w:pPr>
      <w:r w:rsidRPr="008A36BA">
        <w:t xml:space="preserve">Split each cell into three sectors and compute the mobile BS transmitter radiation characteristics as described in Table </w:t>
      </w:r>
      <w:r w:rsidR="00817790" w:rsidRPr="008A36BA">
        <w:t>A3</w:t>
      </w:r>
      <w:r w:rsidRPr="008A36BA">
        <w:t xml:space="preserve">. </w:t>
      </w:r>
    </w:p>
    <w:p w:rsidR="002E3A78" w:rsidRPr="008A36BA" w:rsidRDefault="002E3A78" w:rsidP="002E3A78">
      <w:pPr>
        <w:pStyle w:val="ListParagraph"/>
        <w:numPr>
          <w:ilvl w:val="0"/>
          <w:numId w:val="32"/>
        </w:numPr>
        <w:spacing w:after="120"/>
        <w:jc w:val="both"/>
      </w:pPr>
      <w:r w:rsidRPr="008A36BA">
        <w:t xml:space="preserve">Compute the intersite distances between all mobile BS transmitters, and distances between the DTT transmitter and the mobile BS transmitters, respectively.  </w:t>
      </w:r>
    </w:p>
    <w:p w:rsidR="002E3A78" w:rsidRPr="008A36BA" w:rsidRDefault="002E3A78" w:rsidP="002E3A78">
      <w:pPr>
        <w:spacing w:after="120"/>
        <w:jc w:val="both"/>
      </w:pPr>
      <w:r w:rsidRPr="008A36BA">
        <w:rPr>
          <w:b/>
          <w:bCs/>
        </w:rPr>
        <w:t>Stage 2.</w:t>
      </w:r>
      <w:r w:rsidRPr="008A36BA">
        <w:t xml:space="preserve"> </w:t>
      </w:r>
      <w:r w:rsidRPr="008A36BA">
        <w:rPr>
          <w:b/>
          <w:bCs/>
        </w:rPr>
        <w:t>Selection of mobile and DTT system bands:</w:t>
      </w:r>
      <w:r w:rsidRPr="008A36BA">
        <w:t xml:space="preserve"> </w:t>
      </w:r>
    </w:p>
    <w:p w:rsidR="002E3A78" w:rsidRPr="008A36BA" w:rsidRDefault="002E3A78" w:rsidP="002E3A78">
      <w:pPr>
        <w:pStyle w:val="ListParagraph"/>
        <w:numPr>
          <w:ilvl w:val="0"/>
          <w:numId w:val="33"/>
        </w:numPr>
        <w:spacing w:after="120"/>
        <w:jc w:val="both"/>
      </w:pPr>
      <w:r w:rsidRPr="008A36BA">
        <w:t xml:space="preserve">Select the desired combination of mobile band plan option (option B1 or B2) and the applicable DTT channel given a 6, 7 or 8 MHz spacing applicable to a guard band of 4 MHz, and load the correct frequencies to be used for the simulations. These are given in Table </w:t>
      </w:r>
      <w:r w:rsidR="00817790" w:rsidRPr="008A36BA">
        <w:t>A1</w:t>
      </w:r>
      <w:r w:rsidRPr="008A36BA">
        <w:t xml:space="preserve">. </w:t>
      </w:r>
    </w:p>
    <w:p w:rsidR="008E4585" w:rsidRPr="008A36BA" w:rsidRDefault="008E4585" w:rsidP="008E4585">
      <w:pPr>
        <w:pStyle w:val="ListParagraph"/>
        <w:spacing w:after="120"/>
        <w:jc w:val="both"/>
      </w:pPr>
    </w:p>
    <w:p w:rsidR="002E3A78" w:rsidRPr="008A36BA" w:rsidRDefault="002E3A78" w:rsidP="002E3A78">
      <w:pPr>
        <w:spacing w:after="120"/>
        <w:jc w:val="both"/>
        <w:rPr>
          <w:b/>
          <w:bCs/>
        </w:rPr>
      </w:pPr>
      <w:r w:rsidRPr="008A36BA">
        <w:rPr>
          <w:b/>
          <w:bCs/>
        </w:rPr>
        <w:t xml:space="preserve">Stage 3. Compute the desired signal and interference powers from the mobile BSs to mobile UEs and the DTT transmitter to the mobile UE receivers: </w:t>
      </w:r>
    </w:p>
    <w:p w:rsidR="002E3A78" w:rsidRPr="008A36BA" w:rsidRDefault="002E3A78" w:rsidP="002E3A78">
      <w:pPr>
        <w:spacing w:after="120"/>
        <w:jc w:val="both"/>
        <w:rPr>
          <w:i/>
          <w:iCs/>
        </w:rPr>
      </w:pPr>
      <w:r w:rsidRPr="008A36BA">
        <w:rPr>
          <w:i/>
          <w:iCs/>
        </w:rPr>
        <w:t xml:space="preserve">For each simulation </w:t>
      </w:r>
      <w:r w:rsidR="001A6C3E" w:rsidRPr="008A36BA">
        <w:rPr>
          <w:i/>
          <w:iCs/>
        </w:rPr>
        <w:t xml:space="preserve">snapshot / </w:t>
      </w:r>
      <w:r w:rsidRPr="008A36BA">
        <w:rPr>
          <w:i/>
          <w:iCs/>
        </w:rPr>
        <w:t>reali</w:t>
      </w:r>
      <w:r w:rsidR="001A6C3E" w:rsidRPr="008A36BA">
        <w:rPr>
          <w:i/>
          <w:iCs/>
        </w:rPr>
        <w:t>s</w:t>
      </w:r>
      <w:r w:rsidRPr="008A36BA">
        <w:rPr>
          <w:i/>
          <w:iCs/>
        </w:rPr>
        <w:t>ation (from reali</w:t>
      </w:r>
      <w:r w:rsidR="008A4BE5">
        <w:rPr>
          <w:i/>
          <w:iCs/>
        </w:rPr>
        <w:t>s</w:t>
      </w:r>
      <w:r w:rsidRPr="008A36BA">
        <w:rPr>
          <w:i/>
          <w:iCs/>
        </w:rPr>
        <w:t>ation</w:t>
      </w:r>
      <w:r w:rsidR="008A4BE5">
        <w:rPr>
          <w:i/>
          <w:iCs/>
        </w:rPr>
        <w:t xml:space="preserve"> / snapshot</w:t>
      </w:r>
      <w:r w:rsidRPr="008A36BA">
        <w:rPr>
          <w:i/>
          <w:iCs/>
        </w:rPr>
        <w:t xml:space="preserve"> one to reali</w:t>
      </w:r>
      <w:r w:rsidR="008A4BE5">
        <w:rPr>
          <w:i/>
          <w:iCs/>
        </w:rPr>
        <w:t>s</w:t>
      </w:r>
      <w:r w:rsidRPr="008A36BA">
        <w:rPr>
          <w:i/>
          <w:iCs/>
        </w:rPr>
        <w:t xml:space="preserve">ation </w:t>
      </w:r>
      <w:r w:rsidR="008A4BE5">
        <w:rPr>
          <w:i/>
          <w:iCs/>
        </w:rPr>
        <w:t xml:space="preserve">/ snapshot </w:t>
      </w:r>
      <w:r w:rsidRPr="008A36BA">
        <w:rPr>
          <w:i/>
          <w:iCs/>
        </w:rPr>
        <w:t xml:space="preserve">10,000), do the following: </w:t>
      </w:r>
    </w:p>
    <w:p w:rsidR="002E3A78" w:rsidRPr="008A36BA" w:rsidRDefault="002E3A78" w:rsidP="002E3A78">
      <w:pPr>
        <w:pStyle w:val="ListParagraph"/>
        <w:numPr>
          <w:ilvl w:val="0"/>
          <w:numId w:val="34"/>
        </w:numPr>
        <w:spacing w:after="120"/>
        <w:jc w:val="both"/>
      </w:pPr>
      <w:r w:rsidRPr="008A36BA">
        <w:t xml:space="preserve">In each mobile system cell, drop mobile UE receivers with the density quoted for an urban macro environment, and the antenna gain/pattern described in Table </w:t>
      </w:r>
      <w:r w:rsidR="00817790" w:rsidRPr="008A36BA">
        <w:t>A3</w:t>
      </w:r>
      <w:r w:rsidRPr="008A36BA">
        <w:t xml:space="preserve">. The mobile UEs are dropped with a uniform random distribution with respect to the cell area. </w:t>
      </w:r>
    </w:p>
    <w:p w:rsidR="002E3A78" w:rsidRPr="008A36BA" w:rsidRDefault="002E3A78" w:rsidP="002E3A78">
      <w:pPr>
        <w:pStyle w:val="ListParagraph"/>
        <w:numPr>
          <w:ilvl w:val="0"/>
          <w:numId w:val="34"/>
        </w:numPr>
        <w:spacing w:after="120"/>
        <w:jc w:val="both"/>
      </w:pPr>
      <w:r w:rsidRPr="008A36BA">
        <w:t xml:space="preserve">For each dropped mobile UE, determine if the UE is located outdoor or indoor via a fair coin toss modelled as a binomial random variable with a probability of success being 0.5. If the result of the coin toss is ≤ 0.5, the UE is outdoor, otherwise the UE is considered as indoor. </w:t>
      </w:r>
    </w:p>
    <w:p w:rsidR="002E3A78" w:rsidRPr="008A36BA" w:rsidRDefault="002E3A78" w:rsidP="002E3A78">
      <w:pPr>
        <w:pStyle w:val="ListParagraph"/>
        <w:numPr>
          <w:ilvl w:val="0"/>
          <w:numId w:val="34"/>
        </w:numPr>
        <w:spacing w:after="120"/>
        <w:jc w:val="both"/>
      </w:pPr>
      <w:r w:rsidRPr="008A36BA">
        <w:t xml:space="preserve">Calculate the respective distances from the DTT transmitter and mobile BS transmitters to each dropped mobile UE receiver. </w:t>
      </w:r>
    </w:p>
    <w:p w:rsidR="002E3A78" w:rsidRPr="008A36BA" w:rsidRDefault="002E3A78" w:rsidP="002E3A78">
      <w:pPr>
        <w:pStyle w:val="ListParagraph"/>
        <w:numPr>
          <w:ilvl w:val="0"/>
          <w:numId w:val="34"/>
        </w:numPr>
        <w:spacing w:after="120"/>
        <w:jc w:val="both"/>
      </w:pPr>
      <w:r w:rsidRPr="008A36BA">
        <w:t xml:space="preserve">Calculate the field desired strengths from the mobile BSs to the mobile UE receivers by application of Recommendation ITU-R P.1546 propagation model with parameters from Table </w:t>
      </w:r>
      <w:r w:rsidR="00817790" w:rsidRPr="008A36BA">
        <w:t>A5</w:t>
      </w:r>
      <w:r w:rsidRPr="008A36BA">
        <w:t>. This is inclusive of the lognormally varying shadow fading which changes on a per-reali</w:t>
      </w:r>
      <w:r w:rsidR="00E74CB1">
        <w:t>s</w:t>
      </w:r>
      <w:r w:rsidRPr="008A36BA">
        <w:t xml:space="preserve">ation basis. </w:t>
      </w:r>
    </w:p>
    <w:p w:rsidR="002E3A78" w:rsidRPr="008A36BA" w:rsidRDefault="002E3A78" w:rsidP="002E3A78">
      <w:pPr>
        <w:pStyle w:val="ListParagraph"/>
        <w:numPr>
          <w:ilvl w:val="0"/>
          <w:numId w:val="34"/>
        </w:numPr>
        <w:spacing w:after="120"/>
        <w:jc w:val="both"/>
      </w:pPr>
      <w:r w:rsidRPr="008A36BA">
        <w:t xml:space="preserve">Calculate the interfering field strengths from the DTT transmitter to the mobile UE receivers within the mobile UE receive band via application of Recommendation ITU-R P.1546 propagation model, with parameters from Table </w:t>
      </w:r>
      <w:r w:rsidR="00817790" w:rsidRPr="008A36BA">
        <w:t>A</w:t>
      </w:r>
      <w:r w:rsidR="00B130A8" w:rsidRPr="008A36BA">
        <w:t>5</w:t>
      </w:r>
      <w:r w:rsidRPr="008A36BA">
        <w:t xml:space="preserve">. The estimated field strengths are inclusive of the lognormally varying shadow fading, which changes on a per simulation realization basis. </w:t>
      </w:r>
    </w:p>
    <w:p w:rsidR="002E3A78" w:rsidRPr="008A36BA" w:rsidRDefault="002E3A78" w:rsidP="002E3A78">
      <w:pPr>
        <w:pStyle w:val="ListParagraph"/>
        <w:numPr>
          <w:ilvl w:val="0"/>
          <w:numId w:val="34"/>
        </w:numPr>
        <w:spacing w:after="120"/>
        <w:jc w:val="both"/>
      </w:pPr>
      <w:r w:rsidRPr="008A36BA">
        <w:t xml:space="preserve">Convert the computed field strengths in steps c) and d) above to the equivalent propagation path losses via application of the method outlined in equation (40) in Recommendation ITU-R P.1546. </w:t>
      </w:r>
    </w:p>
    <w:p w:rsidR="002E3A78" w:rsidRPr="008A36BA" w:rsidRDefault="002E3A78" w:rsidP="002E3A78">
      <w:pPr>
        <w:pStyle w:val="ListParagraph"/>
        <w:numPr>
          <w:ilvl w:val="0"/>
          <w:numId w:val="34"/>
        </w:numPr>
        <w:spacing w:after="120"/>
        <w:jc w:val="both"/>
      </w:pPr>
      <w:r w:rsidRPr="008A36BA">
        <w:t xml:space="preserve">Perform a check if the UE is located outdoor or indoor. If the UE is located indoor, then add a fixed outdoor-to-indoor penetration loss in addition to a fixed body loss to the propagation path loss computed in step f), as described in Table </w:t>
      </w:r>
      <w:r w:rsidR="00817790" w:rsidRPr="008A36BA">
        <w:t>A4</w:t>
      </w:r>
      <w:r w:rsidRPr="008A36BA">
        <w:t xml:space="preserve">. </w:t>
      </w:r>
    </w:p>
    <w:p w:rsidR="002E3A78" w:rsidRPr="008A36BA" w:rsidRDefault="002E3A78" w:rsidP="002E3A78">
      <w:pPr>
        <w:pStyle w:val="ListParagraph"/>
        <w:numPr>
          <w:ilvl w:val="0"/>
          <w:numId w:val="34"/>
        </w:numPr>
        <w:spacing w:after="120"/>
        <w:jc w:val="both"/>
      </w:pPr>
      <w:r w:rsidRPr="008A36BA">
        <w:t xml:space="preserve">Compute the desired and interfering received signal power at each mobile UE by subtracting the relevant transmit EIRP of the mobile BS or the DTT transmitter. This is inclusive of the mobile UE receive antenna gain and the chosen average UE duplex filter attenuation constant discussed in/around Table </w:t>
      </w:r>
      <w:r w:rsidR="00817790" w:rsidRPr="008A36BA">
        <w:t xml:space="preserve">A4 </w:t>
      </w:r>
      <w:r w:rsidRPr="008A36BA">
        <w:t xml:space="preserve">and Table </w:t>
      </w:r>
      <w:r w:rsidR="00817790" w:rsidRPr="008A36BA">
        <w:t>A5</w:t>
      </w:r>
      <w:r w:rsidRPr="008A36BA">
        <w:t xml:space="preserve">, respectively. </w:t>
      </w:r>
    </w:p>
    <w:p w:rsidR="008E4585" w:rsidRPr="008A36BA" w:rsidRDefault="008E4585" w:rsidP="008E4585">
      <w:pPr>
        <w:pStyle w:val="ListParagraph"/>
        <w:spacing w:after="120"/>
        <w:jc w:val="both"/>
      </w:pPr>
    </w:p>
    <w:p w:rsidR="002E3A78" w:rsidRPr="008A36BA" w:rsidRDefault="002E3A78" w:rsidP="002E3A78">
      <w:pPr>
        <w:spacing w:after="120"/>
        <w:jc w:val="both"/>
        <w:rPr>
          <w:b/>
          <w:bCs/>
        </w:rPr>
      </w:pPr>
      <w:r w:rsidRPr="008A36BA">
        <w:rPr>
          <w:b/>
          <w:bCs/>
        </w:rPr>
        <w:t xml:space="preserve">Stage 4. Saving and calibration across all Monte-Carlo iterations </w:t>
      </w:r>
    </w:p>
    <w:p w:rsidR="002E3A78" w:rsidRPr="008A36BA" w:rsidRDefault="002E3A78" w:rsidP="002E3A78">
      <w:pPr>
        <w:pStyle w:val="ListParagraph"/>
        <w:numPr>
          <w:ilvl w:val="0"/>
          <w:numId w:val="34"/>
        </w:numPr>
        <w:spacing w:after="120"/>
        <w:jc w:val="both"/>
      </w:pPr>
      <w:r w:rsidRPr="008A36BA">
        <w:t xml:space="preserve">Save the result of each iteration and present the overall result after all iterations in the form of cumulative distribution functions (CDFs) for each mobile band plan option and applicable DTT channels having a guard band of 4 MHz. </w:t>
      </w:r>
    </w:p>
    <w:p w:rsidR="002E3A78" w:rsidRPr="008A36BA" w:rsidRDefault="002E3A78" w:rsidP="002E3A78">
      <w:pPr>
        <w:pStyle w:val="ListParagraph"/>
        <w:numPr>
          <w:ilvl w:val="0"/>
          <w:numId w:val="34"/>
        </w:numPr>
        <w:spacing w:after="120"/>
        <w:jc w:val="both"/>
      </w:pPr>
      <w:r w:rsidRPr="008A36BA">
        <w:t xml:space="preserve">Calibrate the observed interference characteristics with the in-band mobile UE blocking level standardized by the 3GPP in 3GPP TS 38.101-1, as quoted in Table </w:t>
      </w:r>
      <w:r w:rsidR="00817790" w:rsidRPr="008A36BA">
        <w:t>A4</w:t>
      </w:r>
      <w:r w:rsidRPr="008A36BA">
        <w:t xml:space="preserve">. </w:t>
      </w:r>
    </w:p>
    <w:p w:rsidR="002E3A78" w:rsidRPr="008A36BA" w:rsidRDefault="002E3A78" w:rsidP="002E3A78">
      <w:pPr>
        <w:spacing w:after="120"/>
        <w:jc w:val="both"/>
        <w:rPr>
          <w:b/>
          <w:bCs/>
          <w:sz w:val="28"/>
          <w:szCs w:val="28"/>
        </w:rPr>
      </w:pPr>
      <w:r w:rsidRPr="008A36BA">
        <w:t xml:space="preserve">Following the abovementioned process, the following Monte-Carlo results are obtained. </w:t>
      </w:r>
    </w:p>
    <w:p w:rsidR="002E3A78" w:rsidRPr="008A36BA" w:rsidRDefault="002E3A78" w:rsidP="002E3A78">
      <w:pPr>
        <w:spacing w:after="120"/>
        <w:jc w:val="both"/>
        <w:rPr>
          <w:b/>
          <w:bCs/>
          <w:sz w:val="28"/>
          <w:szCs w:val="28"/>
        </w:rPr>
      </w:pPr>
    </w:p>
    <w:p w:rsidR="002E3A78" w:rsidRPr="008A36BA" w:rsidRDefault="002E3A78" w:rsidP="00E94EBF">
      <w:pPr>
        <w:pStyle w:val="ListParagraph"/>
        <w:numPr>
          <w:ilvl w:val="0"/>
          <w:numId w:val="36"/>
        </w:numPr>
        <w:spacing w:after="120"/>
        <w:jc w:val="both"/>
        <w:rPr>
          <w:b/>
          <w:sz w:val="28"/>
          <w:szCs w:val="28"/>
        </w:rPr>
      </w:pPr>
      <w:r w:rsidRPr="008A36BA">
        <w:rPr>
          <w:b/>
          <w:sz w:val="28"/>
          <w:szCs w:val="28"/>
        </w:rPr>
        <w:t>Simulation Results</w:t>
      </w:r>
    </w:p>
    <w:p w:rsidR="002E3A78" w:rsidRPr="008A36BA" w:rsidRDefault="002E3A78" w:rsidP="002E3A78">
      <w:pPr>
        <w:spacing w:after="120"/>
        <w:jc w:val="both"/>
      </w:pPr>
      <w:r w:rsidRPr="008A36BA">
        <w:t>For both mobile band options B1 and B2, the results from the Monte-Carlo simulations described above</w:t>
      </w:r>
      <w:r w:rsidR="008A4BE5">
        <w:t xml:space="preserve"> in section 3</w:t>
      </w:r>
      <w:r w:rsidRPr="008A36BA">
        <w:t xml:space="preserve"> are in presented in the form of </w:t>
      </w:r>
      <w:r w:rsidR="008A4BE5">
        <w:t>Cumulative Distribution Functions (</w:t>
      </w:r>
      <w:r w:rsidRPr="008A36BA">
        <w:t>CDFs</w:t>
      </w:r>
      <w:r w:rsidR="008A4BE5">
        <w:t>)</w:t>
      </w:r>
      <w:r w:rsidRPr="008A36BA">
        <w:t xml:space="preserve"> of the interference power at the mobile UE receiver for the relevant DTT channels when considering a guard band of 4 MHz. The CDFs are formed as a result of the lognormal shadow fading at each UE position from Recommendation ITU-R P.1546, which are also a uniform randomly distributed function across the 10,000 Monte-Carlo </w:t>
      </w:r>
      <w:r w:rsidR="00E32F6B" w:rsidRPr="008A36BA">
        <w:t>snapshots /reali</w:t>
      </w:r>
      <w:r w:rsidR="001A6C3E" w:rsidRPr="008A36BA">
        <w:t>s</w:t>
      </w:r>
      <w:r w:rsidR="00E32F6B" w:rsidRPr="008A36BA">
        <w:t>ations.</w:t>
      </w:r>
    </w:p>
    <w:p w:rsidR="002E3A78" w:rsidRPr="008A36BA" w:rsidRDefault="00817790" w:rsidP="002E3A78">
      <w:pPr>
        <w:spacing w:after="120"/>
        <w:jc w:val="both"/>
      </w:pPr>
      <w:r w:rsidRPr="008A36BA">
        <w:rPr>
          <w:noProof/>
        </w:rPr>
        <w:drawing>
          <wp:anchor distT="0" distB="0" distL="114300" distR="114300" simplePos="0" relativeHeight="251663360" behindDoc="1" locked="0" layoutInCell="1" allowOverlap="1" wp14:anchorId="0437132F" wp14:editId="307E831E">
            <wp:simplePos x="0" y="0"/>
            <wp:positionH relativeFrom="column">
              <wp:posOffset>1083310</wp:posOffset>
            </wp:positionH>
            <wp:positionV relativeFrom="paragraph">
              <wp:posOffset>347345</wp:posOffset>
            </wp:positionV>
            <wp:extent cx="4052570" cy="3397250"/>
            <wp:effectExtent l="0" t="0" r="5080" b="0"/>
            <wp:wrapTopAndBottom/>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2570" cy="3397250"/>
                    </a:xfrm>
                    <a:prstGeom prst="rect">
                      <a:avLst/>
                    </a:prstGeom>
                    <a:noFill/>
                  </pic:spPr>
                </pic:pic>
              </a:graphicData>
            </a:graphic>
            <wp14:sizeRelH relativeFrom="margin">
              <wp14:pctWidth>0</wp14:pctWidth>
            </wp14:sizeRelH>
            <wp14:sizeRelV relativeFrom="margin">
              <wp14:pctHeight>0</wp14:pctHeight>
            </wp14:sizeRelV>
          </wp:anchor>
        </w:drawing>
      </w:r>
    </w:p>
    <w:p w:rsidR="002E3A78" w:rsidRPr="008A36BA" w:rsidRDefault="002E3A78" w:rsidP="002E3A78">
      <w:pPr>
        <w:spacing w:after="120"/>
        <w:jc w:val="center"/>
        <w:rPr>
          <w:b/>
          <w:bCs/>
        </w:rPr>
      </w:pPr>
      <w:bookmarkStart w:id="2" w:name="_Hlk97066842"/>
      <w:r w:rsidRPr="008A36BA">
        <w:rPr>
          <w:b/>
          <w:bCs/>
        </w:rPr>
        <w:t xml:space="preserve">Figure </w:t>
      </w:r>
      <w:r w:rsidR="00817790" w:rsidRPr="008A36BA">
        <w:rPr>
          <w:b/>
          <w:bCs/>
        </w:rPr>
        <w:t>A</w:t>
      </w:r>
      <w:r w:rsidR="008A4BE5">
        <w:rPr>
          <w:b/>
          <w:bCs/>
        </w:rPr>
        <w:t>5</w:t>
      </w:r>
      <w:r w:rsidR="00817790" w:rsidRPr="008A36BA">
        <w:t xml:space="preserve"> </w:t>
      </w:r>
      <w:r w:rsidRPr="008A36BA">
        <w:t xml:space="preserve">– </w:t>
      </w:r>
      <w:r w:rsidRPr="008A36BA">
        <w:rPr>
          <w:b/>
          <w:bCs/>
        </w:rPr>
        <w:t>Interference CDFs at the mobile UE from the applicable APT region DTT channels considering mobile band plan option B1 and a 4 MHz</w:t>
      </w:r>
      <w:r w:rsidR="00817790" w:rsidRPr="008A36BA">
        <w:rPr>
          <w:b/>
          <w:bCs/>
        </w:rPr>
        <w:t xml:space="preserve"> frequency separation (</w:t>
      </w:r>
      <w:r w:rsidRPr="008A36BA">
        <w:rPr>
          <w:b/>
          <w:bCs/>
        </w:rPr>
        <w:t>guard band</w:t>
      </w:r>
      <w:r w:rsidR="00817790" w:rsidRPr="008A36BA">
        <w:rPr>
          <w:b/>
          <w:bCs/>
        </w:rPr>
        <w:t>)</w:t>
      </w:r>
      <w:r w:rsidRPr="008A36BA">
        <w:rPr>
          <w:b/>
          <w:bCs/>
        </w:rPr>
        <w:t>.</w:t>
      </w:r>
    </w:p>
    <w:p w:rsidR="00817790" w:rsidRPr="008A36BA" w:rsidRDefault="00817790" w:rsidP="002E3A78">
      <w:pPr>
        <w:spacing w:after="120"/>
        <w:jc w:val="center"/>
      </w:pPr>
    </w:p>
    <w:bookmarkEnd w:id="2"/>
    <w:p w:rsidR="002E3A78" w:rsidRPr="008A36BA" w:rsidRDefault="002E3A78" w:rsidP="002E3A78">
      <w:pPr>
        <w:spacing w:after="120"/>
        <w:jc w:val="both"/>
      </w:pPr>
      <w:r w:rsidRPr="008A36BA">
        <w:t xml:space="preserve">Figure </w:t>
      </w:r>
      <w:r w:rsidR="00817790" w:rsidRPr="008A36BA">
        <w:t>A</w:t>
      </w:r>
      <w:r w:rsidR="008A4BE5">
        <w:t>5</w:t>
      </w:r>
      <w:r w:rsidR="00817790" w:rsidRPr="008A36BA">
        <w:t xml:space="preserve"> </w:t>
      </w:r>
      <w:r w:rsidR="00330CC2" w:rsidRPr="008A36BA">
        <w:t xml:space="preserve">shows </w:t>
      </w:r>
      <w:r w:rsidRPr="008A36BA">
        <w:t>the interference power CDFs for mobile band option B1. We can see that UE blocking with a 4 MHz guard band</w:t>
      </w:r>
      <w:r w:rsidRPr="008A36BA">
        <w:rPr>
          <w:i/>
          <w:iCs/>
        </w:rPr>
        <w:t xml:space="preserve"> does not </w:t>
      </w:r>
      <w:r w:rsidRPr="008A36BA">
        <w:t>occur for operation in option B1. For each applicable DTT channel, the DTT interference into the mobile UE receive band is well within the UE blocking level limits of -44 dBm imposed by the 3GPP via TS 38.101-1 (shown via the black dotted vertical line in the Figure). This can be seen by analy</w:t>
      </w:r>
      <w:r w:rsidR="00330CC2" w:rsidRPr="008A36BA">
        <w:t>s</w:t>
      </w:r>
      <w:r w:rsidRPr="008A36BA">
        <w:t xml:space="preserve">ing the estimated interference powers for at least 95% </w:t>
      </w:r>
      <w:r w:rsidR="00823150">
        <w:t>probability</w:t>
      </w:r>
      <w:r w:rsidRPr="008A36BA">
        <w:t xml:space="preserve">. The variation in CDFs is due to a multitude of factors while estimating the field strength via Recommendation ITU-R P.1546, such as the randomness induced by shadow fading, UE positions, as well as correction factor differences due to changes in </w:t>
      </w:r>
      <w:r w:rsidR="00330CC2" w:rsidRPr="008A36BA">
        <w:t>centre</w:t>
      </w:r>
      <w:r w:rsidRPr="008A36BA">
        <w:t xml:space="preserve"> frequencies of the respective DTT channels. </w:t>
      </w:r>
    </w:p>
    <w:p w:rsidR="00817790" w:rsidRPr="008A36BA" w:rsidRDefault="00817790" w:rsidP="002E3A78">
      <w:pPr>
        <w:spacing w:after="120"/>
        <w:jc w:val="both"/>
      </w:pPr>
    </w:p>
    <w:p w:rsidR="002E3A78" w:rsidRPr="008A36BA" w:rsidRDefault="002E3A78" w:rsidP="002E3A78">
      <w:pPr>
        <w:spacing w:after="120"/>
        <w:jc w:val="both"/>
      </w:pPr>
      <w:r w:rsidRPr="008A36BA">
        <w:rPr>
          <w:noProof/>
        </w:rPr>
        <w:drawing>
          <wp:anchor distT="0" distB="0" distL="114300" distR="114300" simplePos="0" relativeHeight="251662336" behindDoc="1" locked="0" layoutInCell="1" allowOverlap="1" wp14:anchorId="4FE79D9B" wp14:editId="615F1209">
            <wp:simplePos x="0" y="0"/>
            <wp:positionH relativeFrom="margin">
              <wp:posOffset>901700</wp:posOffset>
            </wp:positionH>
            <wp:positionV relativeFrom="paragraph">
              <wp:posOffset>5080</wp:posOffset>
            </wp:positionV>
            <wp:extent cx="4132580" cy="3370580"/>
            <wp:effectExtent l="0" t="0" r="1270" b="1270"/>
            <wp:wrapTight wrapText="bothSides">
              <wp:wrapPolygon edited="0">
                <wp:start x="0" y="0"/>
                <wp:lineTo x="0" y="21486"/>
                <wp:lineTo x="21507" y="21486"/>
                <wp:lineTo x="21507" y="0"/>
                <wp:lineTo x="0" y="0"/>
              </wp:wrapPolygon>
            </wp:wrapTight>
            <wp:docPr id="19" name="Picture 19" descr="Graphical user interface, 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raphical user interface, chart, line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2580" cy="3370580"/>
                    </a:xfrm>
                    <a:prstGeom prst="rect">
                      <a:avLst/>
                    </a:prstGeom>
                    <a:noFill/>
                  </pic:spPr>
                </pic:pic>
              </a:graphicData>
            </a:graphic>
            <wp14:sizeRelH relativeFrom="margin">
              <wp14:pctWidth>0</wp14:pctWidth>
            </wp14:sizeRelH>
            <wp14:sizeRelV relativeFrom="margin">
              <wp14:pctHeight>0</wp14:pctHeight>
            </wp14:sizeRelV>
          </wp:anchor>
        </w:drawing>
      </w:r>
    </w:p>
    <w:p w:rsidR="002E3A78" w:rsidRPr="008A36BA" w:rsidRDefault="002E3A78" w:rsidP="002E3A78">
      <w:pPr>
        <w:spacing w:after="120"/>
        <w:jc w:val="both"/>
      </w:pPr>
    </w:p>
    <w:p w:rsidR="002E3A78" w:rsidRPr="008A36BA" w:rsidRDefault="002E3A78" w:rsidP="002E3A78">
      <w:pPr>
        <w:spacing w:after="120"/>
        <w:rPr>
          <w:b/>
          <w:bCs/>
          <w:sz w:val="28"/>
          <w:szCs w:val="28"/>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p>
    <w:p w:rsidR="002E3A78" w:rsidRPr="008A36BA" w:rsidRDefault="002E3A78" w:rsidP="002E3A78">
      <w:pPr>
        <w:jc w:val="center"/>
        <w:rPr>
          <w:b/>
          <w:bCs/>
        </w:rPr>
      </w:pPr>
      <w:r w:rsidRPr="008A36BA">
        <w:rPr>
          <w:b/>
          <w:bCs/>
        </w:rPr>
        <w:t xml:space="preserve">Figure </w:t>
      </w:r>
      <w:r w:rsidR="00330CC2" w:rsidRPr="008A36BA">
        <w:rPr>
          <w:b/>
          <w:bCs/>
        </w:rPr>
        <w:t>A</w:t>
      </w:r>
      <w:r w:rsidR="00823150">
        <w:rPr>
          <w:b/>
          <w:bCs/>
        </w:rPr>
        <w:t>6</w:t>
      </w:r>
      <w:r w:rsidR="00330CC2" w:rsidRPr="008A36BA">
        <w:rPr>
          <w:b/>
          <w:bCs/>
        </w:rPr>
        <w:t xml:space="preserve"> </w:t>
      </w:r>
      <w:r w:rsidRPr="008A36BA">
        <w:rPr>
          <w:b/>
          <w:bCs/>
        </w:rPr>
        <w:t>– Interference CDFs at the mobile UE from the applicable APT region DTT channels considering mobile band plan option B2 and a 4 MHz guard band.</w:t>
      </w:r>
    </w:p>
    <w:p w:rsidR="002E3A78" w:rsidRPr="008A36BA" w:rsidRDefault="002E3A78" w:rsidP="002E3A78">
      <w:pPr>
        <w:jc w:val="center"/>
        <w:rPr>
          <w:b/>
          <w:bCs/>
        </w:rPr>
      </w:pPr>
    </w:p>
    <w:p w:rsidR="002E3A78" w:rsidRDefault="002E3A78" w:rsidP="002E3A78">
      <w:r w:rsidRPr="008A36BA">
        <w:t xml:space="preserve">Figure </w:t>
      </w:r>
      <w:r w:rsidR="00330CC2" w:rsidRPr="008A36BA">
        <w:t>A</w:t>
      </w:r>
      <w:r w:rsidR="00823150">
        <w:t>6</w:t>
      </w:r>
      <w:r w:rsidR="00330CC2" w:rsidRPr="008A36BA">
        <w:t xml:space="preserve"> shows </w:t>
      </w:r>
      <w:r w:rsidRPr="008A36BA">
        <w:t xml:space="preserve">the equivalent interference power CDFs for option B2. Similar conclusions to Figure </w:t>
      </w:r>
      <w:r w:rsidR="00330CC2" w:rsidRPr="008A36BA">
        <w:t>A</w:t>
      </w:r>
      <w:r w:rsidR="00823150">
        <w:t>5</w:t>
      </w:r>
      <w:r w:rsidR="00330CC2" w:rsidRPr="008A36BA">
        <w:t xml:space="preserve"> </w:t>
      </w:r>
      <w:r w:rsidRPr="008A36BA">
        <w:t xml:space="preserve">can be obtained for option B2, where interference from the respective DTT channels fall well below the UE blocking level for approximately 98-99% </w:t>
      </w:r>
      <w:r w:rsidR="00823150">
        <w:t>probability</w:t>
      </w:r>
      <w:r w:rsidRPr="008A36BA">
        <w:t xml:space="preserve">. This confirms that with a 4 MHz guard band, UE blocking will also not occur for option B2. </w:t>
      </w:r>
    </w:p>
    <w:p w:rsidR="00E74CB1" w:rsidRDefault="00E74CB1" w:rsidP="002E3A78"/>
    <w:p w:rsidR="00E74CB1" w:rsidRPr="008A36BA" w:rsidRDefault="00E74CB1" w:rsidP="002E3A78"/>
    <w:p w:rsidR="00E32F6B" w:rsidRPr="008A36BA" w:rsidRDefault="00E32F6B" w:rsidP="00E94EBF">
      <w:pPr>
        <w:pStyle w:val="ListParagraph"/>
        <w:numPr>
          <w:ilvl w:val="0"/>
          <w:numId w:val="36"/>
        </w:numPr>
        <w:spacing w:after="120"/>
        <w:jc w:val="both"/>
        <w:rPr>
          <w:b/>
          <w:sz w:val="28"/>
          <w:szCs w:val="28"/>
        </w:rPr>
      </w:pPr>
      <w:r w:rsidRPr="008A36BA">
        <w:rPr>
          <w:b/>
          <w:sz w:val="28"/>
          <w:szCs w:val="28"/>
        </w:rPr>
        <w:t>Conclusions</w:t>
      </w:r>
    </w:p>
    <w:p w:rsidR="00E32F6B" w:rsidRPr="008A36BA" w:rsidRDefault="00E32F6B" w:rsidP="00E32F6B">
      <w:pPr>
        <w:pStyle w:val="ListParagraph"/>
        <w:numPr>
          <w:ilvl w:val="0"/>
          <w:numId w:val="35"/>
        </w:numPr>
        <w:spacing w:after="120"/>
        <w:jc w:val="both"/>
      </w:pPr>
      <w:r w:rsidRPr="008A36BA">
        <w:t xml:space="preserve">The simulation results show a 4 MHz frequency separation (guard band) for options B1 and B2 can keep the DTT interference within the 3GPP in-band mobile UE blocking limits for over 95% </w:t>
      </w:r>
      <w:r w:rsidR="00823150">
        <w:t>probability</w:t>
      </w:r>
      <w:r w:rsidRPr="008A36BA">
        <w:t xml:space="preserve"> for both mobile band plan options B1 and B2, respectively. A 4 MHz frequency separation (guard band) is adequate for mobile UE to operate in the presence of DTT.</w:t>
      </w:r>
    </w:p>
    <w:p w:rsidR="00E32F6B" w:rsidRPr="008A36BA" w:rsidRDefault="00E32F6B" w:rsidP="00E32F6B">
      <w:pPr>
        <w:pStyle w:val="ListParagraph"/>
        <w:numPr>
          <w:ilvl w:val="0"/>
          <w:numId w:val="35"/>
        </w:numPr>
        <w:spacing w:after="120"/>
        <w:jc w:val="both"/>
      </w:pPr>
      <w:r w:rsidRPr="008A36BA">
        <w:t>Mobile UE duplexer filter attenuation on the order of 20 dB is sufficient to keep the interference from DTT transmitter within the required limits for below those for blocking. It is expected that filter attenuations may be greater than 20 dB and may continue to improve over time further increasing mobile UE resilience to DTT.</w:t>
      </w:r>
    </w:p>
    <w:p w:rsidR="00E32F6B" w:rsidRPr="008A36BA" w:rsidRDefault="00E32F6B" w:rsidP="00E32F6B">
      <w:pPr>
        <w:pStyle w:val="ListParagraph"/>
        <w:numPr>
          <w:ilvl w:val="0"/>
          <w:numId w:val="35"/>
        </w:numPr>
        <w:spacing w:after="120"/>
        <w:jc w:val="both"/>
      </w:pPr>
      <w:r w:rsidRPr="008A36BA">
        <w:t>The impact of DTT channels on APT 600 MHz options is given in Table A</w:t>
      </w:r>
      <w:r w:rsidR="009152B0" w:rsidRPr="008A36BA">
        <w:t>7</w:t>
      </w:r>
      <w:r w:rsidRPr="008A36BA">
        <w:t xml:space="preserve"> and shows the comparison between a 7 MHz and 4 MHz frequency separation. </w:t>
      </w:r>
    </w:p>
    <w:p w:rsidR="00E32F6B" w:rsidRPr="008A36BA" w:rsidRDefault="00E32F6B" w:rsidP="00E32F6B">
      <w:pPr>
        <w:pStyle w:val="ListParagraph"/>
        <w:numPr>
          <w:ilvl w:val="0"/>
          <w:numId w:val="35"/>
        </w:numPr>
        <w:spacing w:after="120"/>
        <w:jc w:val="both"/>
      </w:pPr>
      <w:r w:rsidRPr="008A36BA">
        <w:t>The following DTT channels</w:t>
      </w:r>
      <w:r w:rsidR="00AC7540" w:rsidRPr="008A36BA">
        <w:t xml:space="preserve"> (see table A6)</w:t>
      </w:r>
      <w:r w:rsidRPr="008A36BA">
        <w:t xml:space="preserve"> may be impacted in the same geographic area for a minimum guard band of 4 MHz: This means that option B1 would not impact any additional DTT channels on the 8 MHz and 6 MHz DTT channel spacing/raster compared with option B2.</w:t>
      </w:r>
    </w:p>
    <w:p w:rsidR="00AC7540" w:rsidRPr="008A36BA" w:rsidRDefault="00AC7540" w:rsidP="00E94EBF">
      <w:pPr>
        <w:pStyle w:val="ListParagraph"/>
        <w:spacing w:after="120"/>
        <w:jc w:val="both"/>
        <w:rPr>
          <w:b/>
          <w:bCs/>
        </w:rPr>
      </w:pPr>
    </w:p>
    <w:p w:rsidR="00E74CB1" w:rsidRDefault="00E74CB1">
      <w:pPr>
        <w:rPr>
          <w:b/>
          <w:bCs/>
        </w:rPr>
      </w:pPr>
      <w:r>
        <w:rPr>
          <w:b/>
          <w:bCs/>
        </w:rPr>
        <w:br w:type="page"/>
      </w:r>
    </w:p>
    <w:p w:rsidR="00E32F6B" w:rsidRPr="008A36BA" w:rsidRDefault="00E32F6B" w:rsidP="00E94EBF">
      <w:pPr>
        <w:spacing w:after="120"/>
        <w:jc w:val="center"/>
        <w:rPr>
          <w:b/>
          <w:bCs/>
        </w:rPr>
      </w:pPr>
      <w:r w:rsidRPr="008A36BA">
        <w:rPr>
          <w:b/>
          <w:bCs/>
        </w:rPr>
        <w:t>Table A</w:t>
      </w:r>
      <w:r w:rsidR="00AC7540" w:rsidRPr="008A36BA">
        <w:rPr>
          <w:b/>
          <w:bCs/>
        </w:rPr>
        <w:t>6</w:t>
      </w:r>
      <w:r w:rsidRPr="008A36BA">
        <w:rPr>
          <w:b/>
          <w:bCs/>
        </w:rPr>
        <w:t xml:space="preserve"> – Potential DTT channel impact on APT 600 MHz options</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E32F6B" w:rsidRPr="008A36BA" w:rsidTr="0072607F">
        <w:trPr>
          <w:cantSplit/>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32F6B" w:rsidRPr="008A36BA" w:rsidRDefault="00E32F6B" w:rsidP="0072607F">
            <w:pPr>
              <w:pStyle w:val="Tablehead"/>
              <w:rPr>
                <w:lang w:val="en-NZ" w:eastAsia="en-GB"/>
              </w:rPr>
            </w:pPr>
            <w:r w:rsidRPr="008A36BA">
              <w:rPr>
                <w:lang w:val="en-NZ" w:eastAsia="en-GB"/>
              </w:rPr>
              <w:t xml:space="preserve">APT DTT </w:t>
            </w:r>
            <w:r w:rsidR="00823150">
              <w:rPr>
                <w:lang w:val="en-NZ" w:eastAsia="en-GB"/>
              </w:rPr>
              <w:t>raster / c</w:t>
            </w:r>
            <w:r w:rsidRPr="008A36BA">
              <w:rPr>
                <w:lang w:val="en-NZ" w:eastAsia="en-GB"/>
              </w:rPr>
              <w:t xml:space="preserve">hannel </w:t>
            </w:r>
            <w:r w:rsidR="00823150">
              <w:rPr>
                <w:lang w:val="en-NZ" w:eastAsia="en-GB"/>
              </w:rPr>
              <w:t>spacing</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32F6B" w:rsidRPr="008A36BA" w:rsidRDefault="00E32F6B" w:rsidP="0072607F">
            <w:pPr>
              <w:pStyle w:val="Tablehead"/>
              <w:rPr>
                <w:lang w:val="en-NZ" w:eastAsia="en-GB"/>
              </w:rPr>
            </w:pPr>
            <w:r w:rsidRPr="008A36BA">
              <w:rPr>
                <w:lang w:val="en-NZ" w:eastAsia="en-GB"/>
              </w:rPr>
              <w:t xml:space="preserve">Mobile Band Option B1 </w:t>
            </w: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32F6B" w:rsidRPr="008A36BA" w:rsidRDefault="00E32F6B" w:rsidP="0072607F">
            <w:pPr>
              <w:pStyle w:val="Tablehead"/>
              <w:rPr>
                <w:lang w:val="en-NZ" w:eastAsia="en-GB"/>
              </w:rPr>
            </w:pPr>
            <w:r w:rsidRPr="008A36BA">
              <w:rPr>
                <w:lang w:val="en-NZ" w:eastAsia="en-GB"/>
              </w:rPr>
              <w:t xml:space="preserve">Mobile Band Option B2 </w:t>
            </w:r>
          </w:p>
        </w:tc>
      </w:tr>
      <w:tr w:rsidR="00E32F6B" w:rsidRPr="008A36BA" w:rsidTr="0072607F">
        <w:trPr>
          <w:trHeight w:val="158"/>
          <w:jc w:val="center"/>
        </w:trPr>
        <w:tc>
          <w:tcPr>
            <w:tcW w:w="2972"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eastAsia="en-GB"/>
              </w:rPr>
            </w:pPr>
            <w:r w:rsidRPr="008A36BA">
              <w:rPr>
                <w:lang w:val="en-NZ" w:eastAsia="en-GB"/>
              </w:rPr>
              <w:t xml:space="preserve">8 MHz raster </w:t>
            </w:r>
          </w:p>
        </w:tc>
        <w:tc>
          <w:tcPr>
            <w:tcW w:w="269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rPr>
            </w:pPr>
            <w:r w:rsidRPr="008A36BA">
              <w:rPr>
                <w:lang w:val="en-NZ"/>
              </w:rPr>
              <w:t>CH 38</w:t>
            </w:r>
          </w:p>
        </w:tc>
        <w:tc>
          <w:tcPr>
            <w:tcW w:w="2694"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rPr>
            </w:pPr>
            <w:r w:rsidRPr="008A36BA">
              <w:rPr>
                <w:lang w:val="en-NZ"/>
              </w:rPr>
              <w:t>CH 38</w:t>
            </w:r>
          </w:p>
        </w:tc>
      </w:tr>
      <w:tr w:rsidR="00E32F6B" w:rsidRPr="008A36BA" w:rsidTr="0072607F">
        <w:trPr>
          <w:trHeight w:val="158"/>
          <w:jc w:val="center"/>
        </w:trPr>
        <w:tc>
          <w:tcPr>
            <w:tcW w:w="2972" w:type="dxa"/>
            <w:vMerge w:val="restart"/>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eastAsia="en-GB"/>
              </w:rPr>
            </w:pPr>
            <w:r w:rsidRPr="008A36BA">
              <w:rPr>
                <w:lang w:val="en-NZ" w:eastAsia="en-GB"/>
              </w:rPr>
              <w:t>7 MHz raster</w:t>
            </w:r>
          </w:p>
        </w:tc>
        <w:tc>
          <w:tcPr>
            <w:tcW w:w="269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rPr>
            </w:pPr>
            <w:r w:rsidRPr="008A36BA">
              <w:rPr>
                <w:lang w:val="en-NZ"/>
              </w:rPr>
              <w:t>CH 39</w:t>
            </w:r>
          </w:p>
        </w:tc>
        <w:tc>
          <w:tcPr>
            <w:tcW w:w="2694" w:type="dxa"/>
            <w:vMerge w:val="restart"/>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rPr>
            </w:pPr>
            <w:r w:rsidRPr="008A36BA">
              <w:rPr>
                <w:lang w:val="en-NZ"/>
              </w:rPr>
              <w:t>CH 40</w:t>
            </w:r>
          </w:p>
        </w:tc>
      </w:tr>
      <w:tr w:rsidR="00E32F6B" w:rsidRPr="008A36BA" w:rsidTr="0072607F">
        <w:trPr>
          <w:trHeight w:val="157"/>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E32F6B" w:rsidRPr="008A36BA" w:rsidRDefault="00E32F6B" w:rsidP="0072607F">
            <w:pPr>
              <w:rPr>
                <w:rFonts w:eastAsia="Times New Roman"/>
                <w:sz w:val="20"/>
                <w:szCs w:val="20"/>
                <w:lang w:eastAsia="en-GB"/>
              </w:rPr>
            </w:pPr>
          </w:p>
        </w:tc>
        <w:tc>
          <w:tcPr>
            <w:tcW w:w="269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rPr>
            </w:pPr>
            <w:r w:rsidRPr="008A36BA">
              <w:rPr>
                <w:lang w:val="en-NZ"/>
              </w:rPr>
              <w:t>CH 40</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E32F6B" w:rsidRPr="008A36BA" w:rsidRDefault="00E32F6B" w:rsidP="0072607F">
            <w:pPr>
              <w:rPr>
                <w:rFonts w:eastAsia="Times New Roman"/>
                <w:sz w:val="20"/>
                <w:szCs w:val="20"/>
              </w:rPr>
            </w:pPr>
          </w:p>
        </w:tc>
      </w:tr>
      <w:tr w:rsidR="00E32F6B" w:rsidRPr="008A36BA" w:rsidTr="0072607F">
        <w:trPr>
          <w:trHeight w:val="157"/>
          <w:jc w:val="center"/>
        </w:trPr>
        <w:tc>
          <w:tcPr>
            <w:tcW w:w="2972"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eastAsia="en-GB"/>
              </w:rPr>
            </w:pPr>
            <w:r w:rsidRPr="008A36BA">
              <w:rPr>
                <w:lang w:val="en-NZ" w:eastAsia="en-GB"/>
              </w:rPr>
              <w:t>6 MHz raster</w:t>
            </w:r>
          </w:p>
        </w:tc>
        <w:tc>
          <w:tcPr>
            <w:tcW w:w="269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rPr>
            </w:pPr>
            <w:r w:rsidRPr="008A36BA">
              <w:rPr>
                <w:lang w:val="en-NZ"/>
              </w:rPr>
              <w:t>CH 37</w:t>
            </w:r>
          </w:p>
        </w:tc>
        <w:tc>
          <w:tcPr>
            <w:tcW w:w="2694"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pStyle w:val="Tabletext"/>
              <w:jc w:val="center"/>
              <w:rPr>
                <w:lang w:val="en-NZ"/>
              </w:rPr>
            </w:pPr>
            <w:r w:rsidRPr="008A36BA">
              <w:rPr>
                <w:lang w:val="en-NZ"/>
              </w:rPr>
              <w:t>CH 37</w:t>
            </w:r>
          </w:p>
        </w:tc>
      </w:tr>
    </w:tbl>
    <w:p w:rsidR="001A6C3E" w:rsidRPr="008A36BA" w:rsidRDefault="001A6C3E" w:rsidP="00E32F6B">
      <w:pPr>
        <w:spacing w:after="120"/>
        <w:jc w:val="both"/>
        <w:rPr>
          <w:b/>
        </w:rPr>
      </w:pPr>
    </w:p>
    <w:p w:rsidR="00E32F6B" w:rsidRPr="008A36BA" w:rsidRDefault="00E32F6B" w:rsidP="00E32F6B">
      <w:pPr>
        <w:spacing w:after="120"/>
        <w:jc w:val="both"/>
        <w:rPr>
          <w:b/>
        </w:rPr>
      </w:pPr>
    </w:p>
    <w:p w:rsidR="00E32F6B" w:rsidRPr="008A36BA" w:rsidRDefault="00E32F6B" w:rsidP="00E32F6B">
      <w:pPr>
        <w:spacing w:after="120"/>
        <w:jc w:val="center"/>
        <w:rPr>
          <w:rFonts w:eastAsiaTheme="minorHAnsi"/>
          <w:b/>
          <w:bCs/>
          <w:sz w:val="22"/>
          <w:szCs w:val="22"/>
        </w:rPr>
      </w:pPr>
      <w:r w:rsidRPr="008A36BA">
        <w:rPr>
          <w:b/>
        </w:rPr>
        <w:t>Table A</w:t>
      </w:r>
      <w:r w:rsidR="00AC7540" w:rsidRPr="008A36BA">
        <w:rPr>
          <w:b/>
        </w:rPr>
        <w:t>7</w:t>
      </w:r>
      <w:r w:rsidRPr="008A36BA">
        <w:rPr>
          <w:b/>
        </w:rPr>
        <w:t xml:space="preserve"> – Comparison between 7 MHz and 4 MHz frequency separation regarding potential DTT channel impact </w:t>
      </w:r>
    </w:p>
    <w:tbl>
      <w:tblPr>
        <w:tblStyle w:val="TableGrid"/>
        <w:tblW w:w="0" w:type="auto"/>
        <w:tblLook w:val="04A0" w:firstRow="1" w:lastRow="0" w:firstColumn="1" w:lastColumn="0" w:noHBand="0" w:noVBand="1"/>
      </w:tblPr>
      <w:tblGrid>
        <w:gridCol w:w="1832"/>
        <w:gridCol w:w="1832"/>
        <w:gridCol w:w="1833"/>
        <w:gridCol w:w="1833"/>
        <w:gridCol w:w="1833"/>
      </w:tblGrid>
      <w:tr w:rsidR="00E32F6B" w:rsidRPr="008A36BA" w:rsidTr="00823150">
        <w:tc>
          <w:tcPr>
            <w:tcW w:w="183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2F6B" w:rsidRPr="008A36BA" w:rsidRDefault="00E32F6B" w:rsidP="0072607F">
            <w:pPr>
              <w:rPr>
                <w:rFonts w:eastAsiaTheme="minorHAnsi"/>
                <w:b/>
                <w:bCs/>
                <w:sz w:val="22"/>
                <w:szCs w:val="22"/>
              </w:rPr>
            </w:pPr>
            <w:r w:rsidRPr="008A36BA">
              <w:rPr>
                <w:rFonts w:eastAsiaTheme="minorHAnsi"/>
                <w:b/>
                <w:bCs/>
                <w:sz w:val="22"/>
                <w:szCs w:val="22"/>
              </w:rPr>
              <w:t>DTT channel raster / channel spacing</w:t>
            </w:r>
          </w:p>
        </w:tc>
        <w:tc>
          <w:tcPr>
            <w:tcW w:w="366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2F6B" w:rsidRPr="008A36BA" w:rsidRDefault="00E32F6B" w:rsidP="0072607F">
            <w:pPr>
              <w:rPr>
                <w:rFonts w:eastAsiaTheme="minorHAnsi"/>
                <w:b/>
                <w:bCs/>
                <w:sz w:val="22"/>
                <w:szCs w:val="22"/>
              </w:rPr>
            </w:pPr>
            <w:r w:rsidRPr="008A36BA">
              <w:rPr>
                <w:rFonts w:eastAsiaTheme="minorHAnsi"/>
                <w:b/>
                <w:bCs/>
                <w:sz w:val="22"/>
                <w:szCs w:val="22"/>
              </w:rPr>
              <w:t>7 MHz Frequency Separation (Guard band)</w:t>
            </w:r>
          </w:p>
        </w:tc>
        <w:tc>
          <w:tcPr>
            <w:tcW w:w="366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2F6B" w:rsidRPr="008A36BA" w:rsidRDefault="00E32F6B" w:rsidP="0072607F">
            <w:pPr>
              <w:rPr>
                <w:rFonts w:eastAsiaTheme="minorHAnsi"/>
                <w:b/>
                <w:bCs/>
                <w:sz w:val="22"/>
                <w:szCs w:val="22"/>
              </w:rPr>
            </w:pPr>
            <w:r w:rsidRPr="008A36BA">
              <w:rPr>
                <w:rFonts w:eastAsiaTheme="minorHAnsi"/>
                <w:b/>
                <w:bCs/>
                <w:sz w:val="22"/>
                <w:szCs w:val="22"/>
              </w:rPr>
              <w:t>4 MHz Frequency Separation (Guard band)</w:t>
            </w:r>
          </w:p>
        </w:tc>
      </w:tr>
      <w:tr w:rsidR="00E32F6B" w:rsidRPr="008A36BA" w:rsidTr="00823150">
        <w:trPr>
          <w:trHeight w:val="50"/>
        </w:trPr>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32F6B" w:rsidRPr="008A36BA" w:rsidRDefault="00E32F6B" w:rsidP="0072607F">
            <w:pPr>
              <w:rPr>
                <w:rFonts w:eastAsiaTheme="minorHAnsi"/>
                <w:b/>
                <w:bCs/>
                <w:sz w:val="22"/>
                <w:szCs w:val="22"/>
              </w:rPr>
            </w:pPr>
          </w:p>
        </w:tc>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2F6B" w:rsidRPr="008A36BA" w:rsidRDefault="00E32F6B" w:rsidP="0072607F">
            <w:pPr>
              <w:rPr>
                <w:rFonts w:eastAsiaTheme="minorHAnsi"/>
                <w:b/>
                <w:bCs/>
                <w:sz w:val="22"/>
                <w:szCs w:val="22"/>
              </w:rPr>
            </w:pPr>
            <w:r w:rsidRPr="008A36BA">
              <w:rPr>
                <w:rFonts w:eastAsiaTheme="minorHAnsi"/>
                <w:b/>
                <w:bCs/>
                <w:sz w:val="22"/>
                <w:szCs w:val="22"/>
              </w:rPr>
              <w:t>Option B1</w:t>
            </w:r>
          </w:p>
        </w:tc>
        <w:tc>
          <w:tcPr>
            <w:tcW w:w="1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2F6B" w:rsidRPr="008A36BA" w:rsidRDefault="00E32F6B" w:rsidP="0072607F">
            <w:pPr>
              <w:rPr>
                <w:rFonts w:eastAsiaTheme="minorHAnsi"/>
                <w:b/>
                <w:bCs/>
                <w:sz w:val="22"/>
                <w:szCs w:val="22"/>
              </w:rPr>
            </w:pPr>
            <w:r w:rsidRPr="008A36BA">
              <w:rPr>
                <w:rFonts w:eastAsiaTheme="minorHAnsi"/>
                <w:b/>
                <w:bCs/>
                <w:sz w:val="22"/>
                <w:szCs w:val="22"/>
              </w:rPr>
              <w:t>Option B2</w:t>
            </w:r>
          </w:p>
        </w:tc>
        <w:tc>
          <w:tcPr>
            <w:tcW w:w="1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2F6B" w:rsidRPr="008A36BA" w:rsidRDefault="00E32F6B" w:rsidP="0072607F">
            <w:pPr>
              <w:rPr>
                <w:rFonts w:eastAsiaTheme="minorHAnsi"/>
                <w:b/>
                <w:bCs/>
                <w:sz w:val="22"/>
                <w:szCs w:val="22"/>
              </w:rPr>
            </w:pPr>
            <w:r w:rsidRPr="008A36BA">
              <w:rPr>
                <w:rFonts w:eastAsiaTheme="minorHAnsi"/>
                <w:b/>
                <w:bCs/>
                <w:sz w:val="22"/>
                <w:szCs w:val="22"/>
              </w:rPr>
              <w:t>Option B1</w:t>
            </w:r>
          </w:p>
        </w:tc>
        <w:tc>
          <w:tcPr>
            <w:tcW w:w="1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32F6B" w:rsidRPr="008A36BA" w:rsidRDefault="00E32F6B" w:rsidP="0072607F">
            <w:pPr>
              <w:rPr>
                <w:rFonts w:eastAsiaTheme="minorHAnsi"/>
                <w:b/>
                <w:bCs/>
                <w:sz w:val="22"/>
                <w:szCs w:val="22"/>
              </w:rPr>
            </w:pPr>
            <w:r w:rsidRPr="008A36BA">
              <w:rPr>
                <w:rFonts w:eastAsiaTheme="minorHAnsi"/>
                <w:b/>
                <w:bCs/>
                <w:sz w:val="22"/>
                <w:szCs w:val="22"/>
              </w:rPr>
              <w:t>Option B2</w:t>
            </w:r>
          </w:p>
        </w:tc>
      </w:tr>
      <w:tr w:rsidR="00E32F6B" w:rsidRPr="008A36BA" w:rsidTr="0072607F">
        <w:tc>
          <w:tcPr>
            <w:tcW w:w="1832"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8 MHz</w:t>
            </w:r>
          </w:p>
        </w:tc>
        <w:tc>
          <w:tcPr>
            <w:tcW w:w="1832"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37</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38</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38</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38</w:t>
            </w:r>
          </w:p>
        </w:tc>
      </w:tr>
      <w:tr w:rsidR="00E32F6B" w:rsidRPr="008A36BA" w:rsidTr="0072607F">
        <w:tc>
          <w:tcPr>
            <w:tcW w:w="1832"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7 MHz</w:t>
            </w:r>
          </w:p>
        </w:tc>
        <w:tc>
          <w:tcPr>
            <w:tcW w:w="1832"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39</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xml:space="preserve">≥ CH </w:t>
            </w:r>
            <w:r w:rsidR="00823150">
              <w:rPr>
                <w:rFonts w:eastAsiaTheme="minorHAnsi"/>
                <w:sz w:val="22"/>
                <w:szCs w:val="22"/>
              </w:rPr>
              <w:t>40</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39</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40</w:t>
            </w:r>
          </w:p>
        </w:tc>
      </w:tr>
      <w:tr w:rsidR="00E32F6B" w:rsidRPr="008A36BA" w:rsidTr="0072607F">
        <w:tc>
          <w:tcPr>
            <w:tcW w:w="1832"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6 MHz</w:t>
            </w:r>
          </w:p>
        </w:tc>
        <w:tc>
          <w:tcPr>
            <w:tcW w:w="1832"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36</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37</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37</w:t>
            </w:r>
          </w:p>
        </w:tc>
        <w:tc>
          <w:tcPr>
            <w:tcW w:w="1833" w:type="dxa"/>
            <w:tcBorders>
              <w:top w:val="single" w:sz="4" w:space="0" w:color="auto"/>
              <w:left w:val="single" w:sz="4" w:space="0" w:color="auto"/>
              <w:bottom w:val="single" w:sz="4" w:space="0" w:color="auto"/>
              <w:right w:val="single" w:sz="4" w:space="0" w:color="auto"/>
            </w:tcBorders>
            <w:hideMark/>
          </w:tcPr>
          <w:p w:rsidR="00E32F6B" w:rsidRPr="008A36BA" w:rsidRDefault="00E32F6B" w:rsidP="0072607F">
            <w:pPr>
              <w:rPr>
                <w:rFonts w:eastAsiaTheme="minorHAnsi"/>
                <w:sz w:val="22"/>
                <w:szCs w:val="22"/>
              </w:rPr>
            </w:pPr>
            <w:r w:rsidRPr="008A36BA">
              <w:rPr>
                <w:rFonts w:eastAsiaTheme="minorHAnsi"/>
                <w:sz w:val="22"/>
                <w:szCs w:val="22"/>
              </w:rPr>
              <w:t>≥ CH 37</w:t>
            </w:r>
          </w:p>
        </w:tc>
      </w:tr>
    </w:tbl>
    <w:p w:rsidR="001A6C3E" w:rsidRPr="008A36BA" w:rsidRDefault="001A6C3E">
      <w:pPr>
        <w:rPr>
          <w:b/>
          <w:sz w:val="28"/>
        </w:rPr>
      </w:pPr>
    </w:p>
    <w:sectPr w:rsidR="001A6C3E" w:rsidRPr="008A36BA" w:rsidSect="00FF72BB">
      <w:headerReference w:type="default" r:id="rId15"/>
      <w:footerReference w:type="even" r:id="rId16"/>
      <w:footerReference w:type="default" r:id="rId17"/>
      <w:footerReference w:type="first" r:id="rId18"/>
      <w:pgSz w:w="11909" w:h="16834" w:code="9"/>
      <w:pgMar w:top="1152" w:right="1296"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225A" w:rsidRDefault="0022225A">
      <w:r>
        <w:separator/>
      </w:r>
    </w:p>
  </w:endnote>
  <w:endnote w:type="continuationSeparator" w:id="0">
    <w:p w:rsidR="0022225A" w:rsidRDefault="0022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ulimChe">
    <w:altName w:val="Arial Unicode MS"/>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1E1E" w:rsidRDefault="00051E1E">
    <w:pPr>
      <w:pStyle w:val="Footer"/>
    </w:pP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2225A" w:rsidRDefault="0022225A">
      <w:r>
        <w:separator/>
      </w:r>
    </w:p>
  </w:footnote>
  <w:footnote w:type="continuationSeparator" w:id="0">
    <w:p w:rsidR="0022225A" w:rsidRDefault="0022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4758" w:rsidRDefault="00B54758" w:rsidP="008E3821">
    <w:pPr>
      <w:pStyle w:val="Header"/>
      <w:tabs>
        <w:tab w:val="clear" w:pos="4320"/>
        <w:tab w:val="clear" w:pos="8640"/>
      </w:tabs>
      <w:rPr>
        <w:lang w:eastAsia="ko-KR"/>
      </w:rPr>
    </w:pPr>
  </w:p>
  <w:p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545577"/>
    <w:multiLevelType w:val="hybridMultilevel"/>
    <w:tmpl w:val="47A28646"/>
    <w:lvl w:ilvl="0" w:tplc="1409000B">
      <w:start w:val="15"/>
      <w:numFmt w:val="bullet"/>
      <w:lvlText w:val=""/>
      <w:lvlJc w:val="left"/>
      <w:pPr>
        <w:ind w:left="720" w:hanging="360"/>
      </w:pPr>
      <w:rPr>
        <w:rFonts w:ascii="Wingdings" w:eastAsia="Times New Roman" w:hAnsi="Wingdings"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AB2FE5"/>
    <w:multiLevelType w:val="hybridMultilevel"/>
    <w:tmpl w:val="3DE03D3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4"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7BD7A1B"/>
    <w:multiLevelType w:val="hybridMultilevel"/>
    <w:tmpl w:val="6B52C05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8A25518"/>
    <w:multiLevelType w:val="hybridMultilevel"/>
    <w:tmpl w:val="69EE531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C43981"/>
    <w:multiLevelType w:val="hybridMultilevel"/>
    <w:tmpl w:val="9E629C5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A332726"/>
    <w:multiLevelType w:val="hybridMultilevel"/>
    <w:tmpl w:val="83E0A930"/>
    <w:lvl w:ilvl="0" w:tplc="1409000B">
      <w:start w:val="15"/>
      <w:numFmt w:val="bullet"/>
      <w:lvlText w:val=""/>
      <w:lvlJc w:val="left"/>
      <w:pPr>
        <w:ind w:left="720" w:hanging="360"/>
      </w:pPr>
      <w:rPr>
        <w:rFonts w:ascii="Wingdings" w:eastAsia="Times New Roman" w:hAnsi="Wingdings"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174820"/>
    <w:multiLevelType w:val="hybridMultilevel"/>
    <w:tmpl w:val="9096727A"/>
    <w:lvl w:ilvl="0" w:tplc="D42663F2">
      <w:start w:val="15"/>
      <w:numFmt w:val="bullet"/>
      <w:lvlText w:val=""/>
      <w:lvlJc w:val="left"/>
      <w:pPr>
        <w:ind w:left="1080" w:hanging="360"/>
      </w:pPr>
      <w:rPr>
        <w:rFonts w:ascii="Wingdings" w:eastAsia="Times New Roman" w:hAnsi="Wingdings" w:cs="Times New Roman"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7" w15:restartNumberingAfterBreak="0">
    <w:nsid w:val="6EC555F9"/>
    <w:multiLevelType w:val="hybridMultilevel"/>
    <w:tmpl w:val="3DE03D3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0"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6"/>
  </w:num>
  <w:num w:numId="2">
    <w:abstractNumId w:val="11"/>
  </w:num>
  <w:num w:numId="3">
    <w:abstractNumId w:val="9"/>
  </w:num>
  <w:num w:numId="4">
    <w:abstractNumId w:val="28"/>
  </w:num>
  <w:num w:numId="5">
    <w:abstractNumId w:val="13"/>
  </w:num>
  <w:num w:numId="6">
    <w:abstractNumId w:val="17"/>
  </w:num>
  <w:num w:numId="7">
    <w:abstractNumId w:val="8"/>
  </w:num>
  <w:num w:numId="8">
    <w:abstractNumId w:val="2"/>
  </w:num>
  <w:num w:numId="9">
    <w:abstractNumId w:val="31"/>
  </w:num>
  <w:num w:numId="10">
    <w:abstractNumId w:val="0"/>
  </w:num>
  <w:num w:numId="11">
    <w:abstractNumId w:val="30"/>
  </w:num>
  <w:num w:numId="12">
    <w:abstractNumId w:val="14"/>
  </w:num>
  <w:num w:numId="13">
    <w:abstractNumId w:val="21"/>
  </w:num>
  <w:num w:numId="14">
    <w:abstractNumId w:val="12"/>
  </w:num>
  <w:num w:numId="15">
    <w:abstractNumId w:val="5"/>
  </w:num>
  <w:num w:numId="16">
    <w:abstractNumId w:val="3"/>
  </w:num>
  <w:num w:numId="17">
    <w:abstractNumId w:val="7"/>
  </w:num>
  <w:num w:numId="18">
    <w:abstractNumId w:val="15"/>
  </w:num>
  <w:num w:numId="19">
    <w:abstractNumId w:val="22"/>
  </w:num>
  <w:num w:numId="20">
    <w:abstractNumId w:val="23"/>
  </w:num>
  <w:num w:numId="21">
    <w:abstractNumId w:val="20"/>
  </w:num>
  <w:num w:numId="22">
    <w:abstractNumId w:val="6"/>
  </w:num>
  <w:num w:numId="23">
    <w:abstractNumId w:val="27"/>
  </w:num>
  <w:num w:numId="24">
    <w:abstractNumId w:val="24"/>
  </w:num>
  <w:num w:numId="25">
    <w:abstractNumId w:val="26"/>
  </w:num>
  <w:num w:numId="26">
    <w:abstractNumId w:val="4"/>
  </w:num>
  <w:num w:numId="27">
    <w:abstractNumId w:val="19"/>
  </w:num>
  <w:num w:numId="28">
    <w:abstractNumId w:val="29"/>
  </w:num>
  <w:num w:numId="29">
    <w:abstractNumId w:val="1"/>
  </w:num>
  <w:num w:numId="30">
    <w:abstractNumId w:val="18"/>
  </w:num>
  <w:num w:numId="31">
    <w:abstractNumId w:val="1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814"/>
    <w:rsid w:val="00000B9E"/>
    <w:rsid w:val="0000724A"/>
    <w:rsid w:val="00007AAC"/>
    <w:rsid w:val="00016072"/>
    <w:rsid w:val="00023B5D"/>
    <w:rsid w:val="0003595B"/>
    <w:rsid w:val="00036385"/>
    <w:rsid w:val="00041B75"/>
    <w:rsid w:val="000425C8"/>
    <w:rsid w:val="0004538B"/>
    <w:rsid w:val="000501F1"/>
    <w:rsid w:val="00051E1E"/>
    <w:rsid w:val="00054C56"/>
    <w:rsid w:val="0005595A"/>
    <w:rsid w:val="00060EEC"/>
    <w:rsid w:val="00060F9C"/>
    <w:rsid w:val="000613D6"/>
    <w:rsid w:val="00063DF8"/>
    <w:rsid w:val="00071238"/>
    <w:rsid w:val="000713CF"/>
    <w:rsid w:val="00073A81"/>
    <w:rsid w:val="00074034"/>
    <w:rsid w:val="00075C14"/>
    <w:rsid w:val="00082AF7"/>
    <w:rsid w:val="00084664"/>
    <w:rsid w:val="00085B26"/>
    <w:rsid w:val="00094B87"/>
    <w:rsid w:val="00095B5A"/>
    <w:rsid w:val="000961FB"/>
    <w:rsid w:val="000A1F8C"/>
    <w:rsid w:val="000A5418"/>
    <w:rsid w:val="000A754D"/>
    <w:rsid w:val="000B1E8C"/>
    <w:rsid w:val="000B595C"/>
    <w:rsid w:val="000C7A6B"/>
    <w:rsid w:val="000D6D43"/>
    <w:rsid w:val="000D7C75"/>
    <w:rsid w:val="000E364B"/>
    <w:rsid w:val="000F517C"/>
    <w:rsid w:val="000F5540"/>
    <w:rsid w:val="000F5BBD"/>
    <w:rsid w:val="000F6358"/>
    <w:rsid w:val="00106B56"/>
    <w:rsid w:val="00111851"/>
    <w:rsid w:val="00120537"/>
    <w:rsid w:val="00122653"/>
    <w:rsid w:val="00125217"/>
    <w:rsid w:val="00126FF0"/>
    <w:rsid w:val="00130A94"/>
    <w:rsid w:val="00131FCA"/>
    <w:rsid w:val="001327F7"/>
    <w:rsid w:val="00133947"/>
    <w:rsid w:val="00134CC7"/>
    <w:rsid w:val="00135C32"/>
    <w:rsid w:val="001433F1"/>
    <w:rsid w:val="00151121"/>
    <w:rsid w:val="001539DD"/>
    <w:rsid w:val="00154429"/>
    <w:rsid w:val="00164353"/>
    <w:rsid w:val="00175BD2"/>
    <w:rsid w:val="0018114D"/>
    <w:rsid w:val="001832C2"/>
    <w:rsid w:val="00183F34"/>
    <w:rsid w:val="001923E8"/>
    <w:rsid w:val="00196568"/>
    <w:rsid w:val="00197B92"/>
    <w:rsid w:val="001A2F16"/>
    <w:rsid w:val="001A34FF"/>
    <w:rsid w:val="001A6C3E"/>
    <w:rsid w:val="001B18C2"/>
    <w:rsid w:val="001B3DCD"/>
    <w:rsid w:val="001C02D9"/>
    <w:rsid w:val="001C702B"/>
    <w:rsid w:val="001D2D65"/>
    <w:rsid w:val="001D5D7E"/>
    <w:rsid w:val="001F21BD"/>
    <w:rsid w:val="001F2A6F"/>
    <w:rsid w:val="001F5947"/>
    <w:rsid w:val="00201563"/>
    <w:rsid w:val="00202AFA"/>
    <w:rsid w:val="00204134"/>
    <w:rsid w:val="00212A3B"/>
    <w:rsid w:val="0021588B"/>
    <w:rsid w:val="002216AC"/>
    <w:rsid w:val="002219FD"/>
    <w:rsid w:val="0022225A"/>
    <w:rsid w:val="0022456F"/>
    <w:rsid w:val="0022591F"/>
    <w:rsid w:val="0023010A"/>
    <w:rsid w:val="00230738"/>
    <w:rsid w:val="00234735"/>
    <w:rsid w:val="002364F7"/>
    <w:rsid w:val="00237C7E"/>
    <w:rsid w:val="00241B00"/>
    <w:rsid w:val="00241BCF"/>
    <w:rsid w:val="00254247"/>
    <w:rsid w:val="00254A1B"/>
    <w:rsid w:val="0026736F"/>
    <w:rsid w:val="00267784"/>
    <w:rsid w:val="0027105B"/>
    <w:rsid w:val="00274E9B"/>
    <w:rsid w:val="00275ED2"/>
    <w:rsid w:val="00283DD0"/>
    <w:rsid w:val="0028454D"/>
    <w:rsid w:val="00286912"/>
    <w:rsid w:val="00287A2A"/>
    <w:rsid w:val="00291C9E"/>
    <w:rsid w:val="002926D4"/>
    <w:rsid w:val="002A29E8"/>
    <w:rsid w:val="002A2C8E"/>
    <w:rsid w:val="002B0DB4"/>
    <w:rsid w:val="002C07DA"/>
    <w:rsid w:val="002C61C0"/>
    <w:rsid w:val="002C7EA9"/>
    <w:rsid w:val="002D07CD"/>
    <w:rsid w:val="002D0F1F"/>
    <w:rsid w:val="002D3434"/>
    <w:rsid w:val="002E0BDF"/>
    <w:rsid w:val="002E2813"/>
    <w:rsid w:val="002E3A78"/>
    <w:rsid w:val="002F2F9A"/>
    <w:rsid w:val="002F30ED"/>
    <w:rsid w:val="0030512E"/>
    <w:rsid w:val="00305A8A"/>
    <w:rsid w:val="003131A3"/>
    <w:rsid w:val="00316245"/>
    <w:rsid w:val="003269C7"/>
    <w:rsid w:val="00327806"/>
    <w:rsid w:val="00330164"/>
    <w:rsid w:val="00330CC2"/>
    <w:rsid w:val="003328C7"/>
    <w:rsid w:val="00336A0D"/>
    <w:rsid w:val="00342F20"/>
    <w:rsid w:val="00343067"/>
    <w:rsid w:val="00350EC2"/>
    <w:rsid w:val="003540E0"/>
    <w:rsid w:val="003548C2"/>
    <w:rsid w:val="003655FA"/>
    <w:rsid w:val="0037421D"/>
    <w:rsid w:val="003744FF"/>
    <w:rsid w:val="003809C7"/>
    <w:rsid w:val="00381063"/>
    <w:rsid w:val="003829E0"/>
    <w:rsid w:val="0038316C"/>
    <w:rsid w:val="00386322"/>
    <w:rsid w:val="00391A46"/>
    <w:rsid w:val="003A02AE"/>
    <w:rsid w:val="003A3968"/>
    <w:rsid w:val="003B03B2"/>
    <w:rsid w:val="003B1393"/>
    <w:rsid w:val="003B282D"/>
    <w:rsid w:val="003B3CA8"/>
    <w:rsid w:val="003B6263"/>
    <w:rsid w:val="003B6428"/>
    <w:rsid w:val="003C0388"/>
    <w:rsid w:val="003C2F7A"/>
    <w:rsid w:val="003C64A7"/>
    <w:rsid w:val="003C7C96"/>
    <w:rsid w:val="003C7CCF"/>
    <w:rsid w:val="003D0D1B"/>
    <w:rsid w:val="003D25E1"/>
    <w:rsid w:val="003D3FDA"/>
    <w:rsid w:val="003E02D3"/>
    <w:rsid w:val="003E344A"/>
    <w:rsid w:val="003E38CC"/>
    <w:rsid w:val="003E3D6B"/>
    <w:rsid w:val="003F0ACD"/>
    <w:rsid w:val="003F3521"/>
    <w:rsid w:val="003F3CAB"/>
    <w:rsid w:val="003F6D48"/>
    <w:rsid w:val="00400BA6"/>
    <w:rsid w:val="00403CE4"/>
    <w:rsid w:val="004129E8"/>
    <w:rsid w:val="004163FA"/>
    <w:rsid w:val="00420822"/>
    <w:rsid w:val="0042126E"/>
    <w:rsid w:val="004323BB"/>
    <w:rsid w:val="00433925"/>
    <w:rsid w:val="0043456E"/>
    <w:rsid w:val="0043707F"/>
    <w:rsid w:val="004404C0"/>
    <w:rsid w:val="00440BEE"/>
    <w:rsid w:val="00441BF2"/>
    <w:rsid w:val="00444170"/>
    <w:rsid w:val="0045458F"/>
    <w:rsid w:val="00455FD4"/>
    <w:rsid w:val="004633B4"/>
    <w:rsid w:val="00466FEA"/>
    <w:rsid w:val="00473FF8"/>
    <w:rsid w:val="00474D66"/>
    <w:rsid w:val="00475783"/>
    <w:rsid w:val="00477E0F"/>
    <w:rsid w:val="00483317"/>
    <w:rsid w:val="004854EE"/>
    <w:rsid w:val="00493CFA"/>
    <w:rsid w:val="004959EB"/>
    <w:rsid w:val="004A2A54"/>
    <w:rsid w:val="004A4DE4"/>
    <w:rsid w:val="004B180B"/>
    <w:rsid w:val="004B296A"/>
    <w:rsid w:val="004B3553"/>
    <w:rsid w:val="004C4DB2"/>
    <w:rsid w:val="004C6E6C"/>
    <w:rsid w:val="004D1CD5"/>
    <w:rsid w:val="004D30AD"/>
    <w:rsid w:val="004E3914"/>
    <w:rsid w:val="004F733C"/>
    <w:rsid w:val="00503C8B"/>
    <w:rsid w:val="00504922"/>
    <w:rsid w:val="0051185D"/>
    <w:rsid w:val="00513C35"/>
    <w:rsid w:val="00515050"/>
    <w:rsid w:val="0051686D"/>
    <w:rsid w:val="005201CA"/>
    <w:rsid w:val="00521556"/>
    <w:rsid w:val="00521BF0"/>
    <w:rsid w:val="00522577"/>
    <w:rsid w:val="00530E8C"/>
    <w:rsid w:val="00543796"/>
    <w:rsid w:val="005442A4"/>
    <w:rsid w:val="00545933"/>
    <w:rsid w:val="00545C84"/>
    <w:rsid w:val="0054610B"/>
    <w:rsid w:val="0055339A"/>
    <w:rsid w:val="005549C9"/>
    <w:rsid w:val="00557544"/>
    <w:rsid w:val="005606F6"/>
    <w:rsid w:val="005614DC"/>
    <w:rsid w:val="00561FB7"/>
    <w:rsid w:val="00564ACA"/>
    <w:rsid w:val="00565109"/>
    <w:rsid w:val="00567B92"/>
    <w:rsid w:val="00575CDC"/>
    <w:rsid w:val="00577C0A"/>
    <w:rsid w:val="0058595C"/>
    <w:rsid w:val="00587875"/>
    <w:rsid w:val="00590A9E"/>
    <w:rsid w:val="0059255B"/>
    <w:rsid w:val="005B1E77"/>
    <w:rsid w:val="005B244E"/>
    <w:rsid w:val="005B3368"/>
    <w:rsid w:val="005B7C4C"/>
    <w:rsid w:val="005C0163"/>
    <w:rsid w:val="005C5EB6"/>
    <w:rsid w:val="005D3914"/>
    <w:rsid w:val="005D6B2F"/>
    <w:rsid w:val="005E009C"/>
    <w:rsid w:val="005E0349"/>
    <w:rsid w:val="005E3896"/>
    <w:rsid w:val="005F160F"/>
    <w:rsid w:val="005F3EAB"/>
    <w:rsid w:val="00607E2B"/>
    <w:rsid w:val="006139D6"/>
    <w:rsid w:val="00613C46"/>
    <w:rsid w:val="006143CA"/>
    <w:rsid w:val="00622D61"/>
    <w:rsid w:val="00623CE1"/>
    <w:rsid w:val="00625821"/>
    <w:rsid w:val="0063062B"/>
    <w:rsid w:val="00631AE0"/>
    <w:rsid w:val="006327BD"/>
    <w:rsid w:val="00636BAD"/>
    <w:rsid w:val="00645C3B"/>
    <w:rsid w:val="00657C02"/>
    <w:rsid w:val="0066388B"/>
    <w:rsid w:val="00665067"/>
    <w:rsid w:val="00667229"/>
    <w:rsid w:val="0066761C"/>
    <w:rsid w:val="00667A26"/>
    <w:rsid w:val="00675C31"/>
    <w:rsid w:val="006769C2"/>
    <w:rsid w:val="00682BE5"/>
    <w:rsid w:val="006843DA"/>
    <w:rsid w:val="00690FED"/>
    <w:rsid w:val="00692058"/>
    <w:rsid w:val="0069379D"/>
    <w:rsid w:val="006939A5"/>
    <w:rsid w:val="006A15A4"/>
    <w:rsid w:val="006B024E"/>
    <w:rsid w:val="006B1F21"/>
    <w:rsid w:val="006B6778"/>
    <w:rsid w:val="006C073E"/>
    <w:rsid w:val="006C2D39"/>
    <w:rsid w:val="006C665B"/>
    <w:rsid w:val="006E12FC"/>
    <w:rsid w:val="006F375E"/>
    <w:rsid w:val="006F4128"/>
    <w:rsid w:val="006F4A1F"/>
    <w:rsid w:val="006F5820"/>
    <w:rsid w:val="006F67E0"/>
    <w:rsid w:val="0070077C"/>
    <w:rsid w:val="00703087"/>
    <w:rsid w:val="0070520C"/>
    <w:rsid w:val="00705577"/>
    <w:rsid w:val="00705E61"/>
    <w:rsid w:val="007113A8"/>
    <w:rsid w:val="00712451"/>
    <w:rsid w:val="007258F6"/>
    <w:rsid w:val="00731041"/>
    <w:rsid w:val="007322F3"/>
    <w:rsid w:val="0073241A"/>
    <w:rsid w:val="00732F08"/>
    <w:rsid w:val="00734015"/>
    <w:rsid w:val="007350E2"/>
    <w:rsid w:val="0074190C"/>
    <w:rsid w:val="007423A0"/>
    <w:rsid w:val="007547CA"/>
    <w:rsid w:val="00754956"/>
    <w:rsid w:val="00754F63"/>
    <w:rsid w:val="00756E03"/>
    <w:rsid w:val="00762576"/>
    <w:rsid w:val="00764B8B"/>
    <w:rsid w:val="00791060"/>
    <w:rsid w:val="00791307"/>
    <w:rsid w:val="007A133E"/>
    <w:rsid w:val="007A1BDE"/>
    <w:rsid w:val="007A1E16"/>
    <w:rsid w:val="007A3E29"/>
    <w:rsid w:val="007B0192"/>
    <w:rsid w:val="007B3299"/>
    <w:rsid w:val="007B3A16"/>
    <w:rsid w:val="007B3D18"/>
    <w:rsid w:val="007B50CA"/>
    <w:rsid w:val="007B5626"/>
    <w:rsid w:val="007B59FC"/>
    <w:rsid w:val="007B5E37"/>
    <w:rsid w:val="007C139C"/>
    <w:rsid w:val="007C1855"/>
    <w:rsid w:val="007D29E5"/>
    <w:rsid w:val="007D40C5"/>
    <w:rsid w:val="007D54D4"/>
    <w:rsid w:val="007E1FDD"/>
    <w:rsid w:val="007E5FF5"/>
    <w:rsid w:val="007E7497"/>
    <w:rsid w:val="007E77AF"/>
    <w:rsid w:val="007F08FF"/>
    <w:rsid w:val="007F1287"/>
    <w:rsid w:val="007F1651"/>
    <w:rsid w:val="0080053A"/>
    <w:rsid w:val="00803C99"/>
    <w:rsid w:val="0080570B"/>
    <w:rsid w:val="008101F9"/>
    <w:rsid w:val="008113BB"/>
    <w:rsid w:val="008148E1"/>
    <w:rsid w:val="00816875"/>
    <w:rsid w:val="00816F4E"/>
    <w:rsid w:val="00817790"/>
    <w:rsid w:val="00820C45"/>
    <w:rsid w:val="00821FFB"/>
    <w:rsid w:val="00823150"/>
    <w:rsid w:val="00831716"/>
    <w:rsid w:val="008319BF"/>
    <w:rsid w:val="008337EA"/>
    <w:rsid w:val="008365A5"/>
    <w:rsid w:val="00850E1C"/>
    <w:rsid w:val="00864506"/>
    <w:rsid w:val="008663EE"/>
    <w:rsid w:val="00867474"/>
    <w:rsid w:val="00870944"/>
    <w:rsid w:val="008745D3"/>
    <w:rsid w:val="00881596"/>
    <w:rsid w:val="00883757"/>
    <w:rsid w:val="00884A08"/>
    <w:rsid w:val="00893B87"/>
    <w:rsid w:val="008950FB"/>
    <w:rsid w:val="00897849"/>
    <w:rsid w:val="008A36BA"/>
    <w:rsid w:val="008A423E"/>
    <w:rsid w:val="008A4BE5"/>
    <w:rsid w:val="008A531A"/>
    <w:rsid w:val="008A73CD"/>
    <w:rsid w:val="008B0296"/>
    <w:rsid w:val="008C2593"/>
    <w:rsid w:val="008D084B"/>
    <w:rsid w:val="008D0E09"/>
    <w:rsid w:val="008E3821"/>
    <w:rsid w:val="008E4585"/>
    <w:rsid w:val="008E5298"/>
    <w:rsid w:val="008F2153"/>
    <w:rsid w:val="008F2AE3"/>
    <w:rsid w:val="008F301D"/>
    <w:rsid w:val="00905FF0"/>
    <w:rsid w:val="009125B0"/>
    <w:rsid w:val="009152B0"/>
    <w:rsid w:val="00925283"/>
    <w:rsid w:val="00925FC6"/>
    <w:rsid w:val="00947F21"/>
    <w:rsid w:val="0095143A"/>
    <w:rsid w:val="00953737"/>
    <w:rsid w:val="00957117"/>
    <w:rsid w:val="00960A33"/>
    <w:rsid w:val="0096181A"/>
    <w:rsid w:val="00972289"/>
    <w:rsid w:val="0097693B"/>
    <w:rsid w:val="00980B18"/>
    <w:rsid w:val="00981CFB"/>
    <w:rsid w:val="00984522"/>
    <w:rsid w:val="00987609"/>
    <w:rsid w:val="00993355"/>
    <w:rsid w:val="009968E8"/>
    <w:rsid w:val="009A46BF"/>
    <w:rsid w:val="009A4A6D"/>
    <w:rsid w:val="009A7D5A"/>
    <w:rsid w:val="009B07EB"/>
    <w:rsid w:val="009B37F1"/>
    <w:rsid w:val="009B74AC"/>
    <w:rsid w:val="009C0545"/>
    <w:rsid w:val="009C0B35"/>
    <w:rsid w:val="009C361C"/>
    <w:rsid w:val="009C65D1"/>
    <w:rsid w:val="009D0FAF"/>
    <w:rsid w:val="009D601D"/>
    <w:rsid w:val="00A0503B"/>
    <w:rsid w:val="00A11213"/>
    <w:rsid w:val="00A121E0"/>
    <w:rsid w:val="00A13265"/>
    <w:rsid w:val="00A15BD2"/>
    <w:rsid w:val="00A17131"/>
    <w:rsid w:val="00A20980"/>
    <w:rsid w:val="00A24180"/>
    <w:rsid w:val="00A31185"/>
    <w:rsid w:val="00A42397"/>
    <w:rsid w:val="00A50748"/>
    <w:rsid w:val="00A51E6D"/>
    <w:rsid w:val="00A52263"/>
    <w:rsid w:val="00A61885"/>
    <w:rsid w:val="00A63455"/>
    <w:rsid w:val="00A664D0"/>
    <w:rsid w:val="00A71136"/>
    <w:rsid w:val="00A715D9"/>
    <w:rsid w:val="00A73B3E"/>
    <w:rsid w:val="00A84559"/>
    <w:rsid w:val="00A85814"/>
    <w:rsid w:val="00A935DC"/>
    <w:rsid w:val="00AA2D8E"/>
    <w:rsid w:val="00AA474C"/>
    <w:rsid w:val="00AB0EAD"/>
    <w:rsid w:val="00AB2572"/>
    <w:rsid w:val="00AB4563"/>
    <w:rsid w:val="00AC0549"/>
    <w:rsid w:val="00AC19BB"/>
    <w:rsid w:val="00AC7540"/>
    <w:rsid w:val="00AD7E5F"/>
    <w:rsid w:val="00AE4E2F"/>
    <w:rsid w:val="00AF461A"/>
    <w:rsid w:val="00AF6E67"/>
    <w:rsid w:val="00AF7073"/>
    <w:rsid w:val="00B008D8"/>
    <w:rsid w:val="00B01AA1"/>
    <w:rsid w:val="00B11E84"/>
    <w:rsid w:val="00B130A8"/>
    <w:rsid w:val="00B174C9"/>
    <w:rsid w:val="00B20D4B"/>
    <w:rsid w:val="00B24089"/>
    <w:rsid w:val="00B30C81"/>
    <w:rsid w:val="00B30F1C"/>
    <w:rsid w:val="00B34275"/>
    <w:rsid w:val="00B3474C"/>
    <w:rsid w:val="00B36BA9"/>
    <w:rsid w:val="00B455C7"/>
    <w:rsid w:val="00B4793B"/>
    <w:rsid w:val="00B54758"/>
    <w:rsid w:val="00B66740"/>
    <w:rsid w:val="00B725B1"/>
    <w:rsid w:val="00B75C41"/>
    <w:rsid w:val="00B7612D"/>
    <w:rsid w:val="00B809CA"/>
    <w:rsid w:val="00B842B7"/>
    <w:rsid w:val="00B97AC9"/>
    <w:rsid w:val="00BB471B"/>
    <w:rsid w:val="00BB7E96"/>
    <w:rsid w:val="00BC3C70"/>
    <w:rsid w:val="00BC4900"/>
    <w:rsid w:val="00BC7506"/>
    <w:rsid w:val="00BC7B49"/>
    <w:rsid w:val="00BD4080"/>
    <w:rsid w:val="00BD5D52"/>
    <w:rsid w:val="00BE360C"/>
    <w:rsid w:val="00BE773F"/>
    <w:rsid w:val="00BF1E8D"/>
    <w:rsid w:val="00BF397C"/>
    <w:rsid w:val="00BF6FFC"/>
    <w:rsid w:val="00C058F1"/>
    <w:rsid w:val="00C06170"/>
    <w:rsid w:val="00C14B99"/>
    <w:rsid w:val="00C15633"/>
    <w:rsid w:val="00C15799"/>
    <w:rsid w:val="00C20F4D"/>
    <w:rsid w:val="00C2184E"/>
    <w:rsid w:val="00C256E8"/>
    <w:rsid w:val="00C26745"/>
    <w:rsid w:val="00C3125E"/>
    <w:rsid w:val="00C357AD"/>
    <w:rsid w:val="00C3644A"/>
    <w:rsid w:val="00C449F3"/>
    <w:rsid w:val="00C466E8"/>
    <w:rsid w:val="00C46E41"/>
    <w:rsid w:val="00C502E6"/>
    <w:rsid w:val="00C52B62"/>
    <w:rsid w:val="00C6069C"/>
    <w:rsid w:val="00C61BD5"/>
    <w:rsid w:val="00C73F61"/>
    <w:rsid w:val="00C75805"/>
    <w:rsid w:val="00C807D2"/>
    <w:rsid w:val="00C84718"/>
    <w:rsid w:val="00C85119"/>
    <w:rsid w:val="00C91A96"/>
    <w:rsid w:val="00C93834"/>
    <w:rsid w:val="00C93EA8"/>
    <w:rsid w:val="00C956EE"/>
    <w:rsid w:val="00C96FE4"/>
    <w:rsid w:val="00CB643A"/>
    <w:rsid w:val="00CC56C6"/>
    <w:rsid w:val="00CD0363"/>
    <w:rsid w:val="00CD5431"/>
    <w:rsid w:val="00CD7772"/>
    <w:rsid w:val="00CE55AC"/>
    <w:rsid w:val="00CE6DD9"/>
    <w:rsid w:val="00CF2491"/>
    <w:rsid w:val="00CF2CBA"/>
    <w:rsid w:val="00CF3030"/>
    <w:rsid w:val="00CF5DDC"/>
    <w:rsid w:val="00D07C16"/>
    <w:rsid w:val="00D1252E"/>
    <w:rsid w:val="00D12CE1"/>
    <w:rsid w:val="00D2444D"/>
    <w:rsid w:val="00D31452"/>
    <w:rsid w:val="00D35E20"/>
    <w:rsid w:val="00D37FE9"/>
    <w:rsid w:val="00D500B1"/>
    <w:rsid w:val="00D52610"/>
    <w:rsid w:val="00D5307B"/>
    <w:rsid w:val="00D55B1C"/>
    <w:rsid w:val="00D57772"/>
    <w:rsid w:val="00D617A1"/>
    <w:rsid w:val="00D651AB"/>
    <w:rsid w:val="00D66CD6"/>
    <w:rsid w:val="00D7051C"/>
    <w:rsid w:val="00D72AE3"/>
    <w:rsid w:val="00D736B0"/>
    <w:rsid w:val="00D75A4D"/>
    <w:rsid w:val="00D8478B"/>
    <w:rsid w:val="00D84CEE"/>
    <w:rsid w:val="00D86151"/>
    <w:rsid w:val="00D91215"/>
    <w:rsid w:val="00DA3CC4"/>
    <w:rsid w:val="00DA7595"/>
    <w:rsid w:val="00DB0A68"/>
    <w:rsid w:val="00DB13B0"/>
    <w:rsid w:val="00DB2A76"/>
    <w:rsid w:val="00DB39A6"/>
    <w:rsid w:val="00DB4A1C"/>
    <w:rsid w:val="00DC43A3"/>
    <w:rsid w:val="00DC5F03"/>
    <w:rsid w:val="00DC6DBC"/>
    <w:rsid w:val="00DD7C09"/>
    <w:rsid w:val="00DE54CF"/>
    <w:rsid w:val="00DE5960"/>
    <w:rsid w:val="00DF4D3B"/>
    <w:rsid w:val="00DF70E1"/>
    <w:rsid w:val="00DF791C"/>
    <w:rsid w:val="00E0124F"/>
    <w:rsid w:val="00E02E0D"/>
    <w:rsid w:val="00E06286"/>
    <w:rsid w:val="00E151E4"/>
    <w:rsid w:val="00E17376"/>
    <w:rsid w:val="00E20BAC"/>
    <w:rsid w:val="00E23D98"/>
    <w:rsid w:val="00E30344"/>
    <w:rsid w:val="00E31E48"/>
    <w:rsid w:val="00E32F6B"/>
    <w:rsid w:val="00E40029"/>
    <w:rsid w:val="00E403B9"/>
    <w:rsid w:val="00E5341E"/>
    <w:rsid w:val="00E545D9"/>
    <w:rsid w:val="00E65FC2"/>
    <w:rsid w:val="00E67003"/>
    <w:rsid w:val="00E674D3"/>
    <w:rsid w:val="00E70FD0"/>
    <w:rsid w:val="00E74CB1"/>
    <w:rsid w:val="00E80263"/>
    <w:rsid w:val="00E8064B"/>
    <w:rsid w:val="00E94EBF"/>
    <w:rsid w:val="00EA0B53"/>
    <w:rsid w:val="00EA4BC2"/>
    <w:rsid w:val="00EA7027"/>
    <w:rsid w:val="00EB2081"/>
    <w:rsid w:val="00EB6A9E"/>
    <w:rsid w:val="00EC249E"/>
    <w:rsid w:val="00EC490B"/>
    <w:rsid w:val="00ED099E"/>
    <w:rsid w:val="00ED4EE9"/>
    <w:rsid w:val="00EE2180"/>
    <w:rsid w:val="00EE3496"/>
    <w:rsid w:val="00EE3FAD"/>
    <w:rsid w:val="00EE6C35"/>
    <w:rsid w:val="00EE6D73"/>
    <w:rsid w:val="00EF2406"/>
    <w:rsid w:val="00F00140"/>
    <w:rsid w:val="00F00257"/>
    <w:rsid w:val="00F12F0D"/>
    <w:rsid w:val="00F27A79"/>
    <w:rsid w:val="00F37827"/>
    <w:rsid w:val="00F43393"/>
    <w:rsid w:val="00F4400C"/>
    <w:rsid w:val="00F46B9C"/>
    <w:rsid w:val="00F5332C"/>
    <w:rsid w:val="00F55E0A"/>
    <w:rsid w:val="00F626B7"/>
    <w:rsid w:val="00F634E7"/>
    <w:rsid w:val="00F650EB"/>
    <w:rsid w:val="00F70230"/>
    <w:rsid w:val="00F71849"/>
    <w:rsid w:val="00F728A9"/>
    <w:rsid w:val="00F84067"/>
    <w:rsid w:val="00F871F5"/>
    <w:rsid w:val="00F92E50"/>
    <w:rsid w:val="00FB652E"/>
    <w:rsid w:val="00FC156A"/>
    <w:rsid w:val="00FC46D7"/>
    <w:rsid w:val="00FC7A38"/>
    <w:rsid w:val="00FD3B58"/>
    <w:rsid w:val="00FE0F77"/>
    <w:rsid w:val="00FE3DE5"/>
    <w:rsid w:val="00FF25D6"/>
    <w:rsid w:val="00FF3B2F"/>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A785"/>
  <w15:docId w15:val="{6BE292EC-2B16-419D-8747-877815E73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F21"/>
    <w:rPr>
      <w:rFonts w:eastAsia="BatangChe"/>
      <w:sz w:val="24"/>
      <w:szCs w:val="24"/>
      <w:lang w:val="en-NZ"/>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aliases w:val="CEO_Hyperlink"/>
    <w:basedOn w:val="DefaultParagraphFont"/>
    <w:uiPriority w:val="99"/>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F92E50"/>
    <w:rPr>
      <w:color w:val="605E5C"/>
      <w:shd w:val="clear" w:color="auto" w:fill="E1DFDD"/>
    </w:rPr>
  </w:style>
  <w:style w:type="character" w:styleId="CommentReference">
    <w:name w:val="annotation reference"/>
    <w:basedOn w:val="DefaultParagraphFont"/>
    <w:semiHidden/>
    <w:unhideWhenUsed/>
    <w:rsid w:val="00ED099E"/>
    <w:rPr>
      <w:sz w:val="16"/>
      <w:szCs w:val="16"/>
    </w:rPr>
  </w:style>
  <w:style w:type="paragraph" w:styleId="CommentText">
    <w:name w:val="annotation text"/>
    <w:basedOn w:val="Normal"/>
    <w:link w:val="CommentTextChar"/>
    <w:unhideWhenUsed/>
    <w:rsid w:val="00ED099E"/>
    <w:rPr>
      <w:sz w:val="20"/>
      <w:szCs w:val="20"/>
    </w:rPr>
  </w:style>
  <w:style w:type="character" w:customStyle="1" w:styleId="CommentTextChar">
    <w:name w:val="Comment Text Char"/>
    <w:basedOn w:val="DefaultParagraphFont"/>
    <w:link w:val="CommentText"/>
    <w:rsid w:val="00ED099E"/>
    <w:rPr>
      <w:rFonts w:eastAsia="BatangChe"/>
      <w:lang w:val="en-NZ"/>
    </w:rPr>
  </w:style>
  <w:style w:type="paragraph" w:styleId="CommentSubject">
    <w:name w:val="annotation subject"/>
    <w:basedOn w:val="CommentText"/>
    <w:next w:val="CommentText"/>
    <w:link w:val="CommentSubjectChar"/>
    <w:semiHidden/>
    <w:unhideWhenUsed/>
    <w:rsid w:val="00ED099E"/>
    <w:rPr>
      <w:b/>
      <w:bCs/>
    </w:rPr>
  </w:style>
  <w:style w:type="character" w:customStyle="1" w:styleId="CommentSubjectChar">
    <w:name w:val="Comment Subject Char"/>
    <w:basedOn w:val="CommentTextChar"/>
    <w:link w:val="CommentSubject"/>
    <w:semiHidden/>
    <w:rsid w:val="00ED099E"/>
    <w:rPr>
      <w:rFonts w:eastAsia="BatangChe"/>
      <w:b/>
      <w:bCs/>
      <w:lang w:val="en-NZ"/>
    </w:rPr>
  </w:style>
  <w:style w:type="paragraph" w:customStyle="1" w:styleId="Tabletext">
    <w:name w:val="Table_text"/>
    <w:basedOn w:val="Normal"/>
    <w:link w:val="TabletextChar"/>
    <w:qFormat/>
    <w:rsid w:val="000D6D4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0"/>
      <w:szCs w:val="20"/>
      <w:lang w:val="en-GB"/>
    </w:rPr>
  </w:style>
  <w:style w:type="paragraph" w:customStyle="1" w:styleId="Tablehead">
    <w:name w:val="Table_head"/>
    <w:basedOn w:val="Normal"/>
    <w:link w:val="TableheadChar"/>
    <w:qFormat/>
    <w:rsid w:val="000D6D4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sz w:val="20"/>
      <w:szCs w:val="20"/>
      <w:lang w:val="en-GB"/>
    </w:rPr>
  </w:style>
  <w:style w:type="paragraph" w:customStyle="1" w:styleId="TableNo">
    <w:name w:val="Table_No"/>
    <w:basedOn w:val="Normal"/>
    <w:next w:val="Normal"/>
    <w:link w:val="TableNoChar"/>
    <w:qFormat/>
    <w:rsid w:val="000D6D4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szCs w:val="20"/>
      <w:lang w:val="en-GB"/>
    </w:rPr>
  </w:style>
  <w:style w:type="paragraph" w:customStyle="1" w:styleId="Tabletitle">
    <w:name w:val="Table_title"/>
    <w:basedOn w:val="Normal"/>
    <w:next w:val="Tabletext"/>
    <w:link w:val="TabletitleChar"/>
    <w:qFormat/>
    <w:rsid w:val="000D6D4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szCs w:val="20"/>
      <w:lang w:val="en-GB"/>
    </w:rPr>
  </w:style>
  <w:style w:type="character" w:customStyle="1" w:styleId="TabletextChar">
    <w:name w:val="Table_text Char"/>
    <w:basedOn w:val="DefaultParagraphFont"/>
    <w:link w:val="Tabletext"/>
    <w:qFormat/>
    <w:rsid w:val="000D6D43"/>
    <w:rPr>
      <w:rFonts w:eastAsia="Times New Roman"/>
      <w:lang w:val="en-GB"/>
    </w:rPr>
  </w:style>
  <w:style w:type="character" w:customStyle="1" w:styleId="TableheadChar">
    <w:name w:val="Table_head Char"/>
    <w:basedOn w:val="DefaultParagraphFont"/>
    <w:link w:val="Tablehead"/>
    <w:qFormat/>
    <w:locked/>
    <w:rsid w:val="000D6D43"/>
    <w:rPr>
      <w:rFonts w:ascii="Times New Roman Bold" w:eastAsia="Times New Roman" w:hAnsi="Times New Roman Bold" w:cs="Times New Roman Bold"/>
      <w:b/>
      <w:lang w:val="en-GB"/>
    </w:rPr>
  </w:style>
  <w:style w:type="character" w:customStyle="1" w:styleId="TableNoChar">
    <w:name w:val="Table_No Char"/>
    <w:link w:val="TableNo"/>
    <w:locked/>
    <w:rsid w:val="000D6D43"/>
    <w:rPr>
      <w:rFonts w:eastAsia="Times New Roman"/>
      <w:caps/>
      <w:lang w:val="en-GB"/>
    </w:rPr>
  </w:style>
  <w:style w:type="character" w:customStyle="1" w:styleId="TabletitleChar">
    <w:name w:val="Table_title Char"/>
    <w:basedOn w:val="DefaultParagraphFont"/>
    <w:link w:val="Tabletitle"/>
    <w:qFormat/>
    <w:locked/>
    <w:rsid w:val="000D6D43"/>
    <w:rPr>
      <w:rFonts w:ascii="Times New Roman Bold" w:eastAsia="Times New Roman" w:hAnsi="Times New Roman Bold"/>
      <w:b/>
      <w:lang w:val="en-GB"/>
    </w:rPr>
  </w:style>
  <w:style w:type="paragraph" w:styleId="Revision">
    <w:name w:val="Revision"/>
    <w:hidden/>
    <w:uiPriority w:val="99"/>
    <w:semiHidden/>
    <w:rsid w:val="00867474"/>
    <w:rPr>
      <w:rFonts w:eastAsia="BatangChe"/>
      <w:sz w:val="24"/>
      <w:szCs w:val="24"/>
      <w:lang w:val="en-NZ"/>
    </w:rPr>
  </w:style>
  <w:style w:type="character" w:styleId="PlaceholderText">
    <w:name w:val="Placeholder Text"/>
    <w:basedOn w:val="DefaultParagraphFont"/>
    <w:uiPriority w:val="99"/>
    <w:semiHidden/>
    <w:rsid w:val="00204134"/>
    <w:rPr>
      <w:color w:val="808080"/>
    </w:rPr>
  </w:style>
  <w:style w:type="character" w:styleId="FollowedHyperlink">
    <w:name w:val="FollowedHyperlink"/>
    <w:basedOn w:val="DefaultParagraphFont"/>
    <w:semiHidden/>
    <w:unhideWhenUsed/>
    <w:rsid w:val="002A29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405254">
      <w:bodyDiv w:val="1"/>
      <w:marLeft w:val="0"/>
      <w:marRight w:val="0"/>
      <w:marTop w:val="0"/>
      <w:marBottom w:val="0"/>
      <w:divBdr>
        <w:top w:val="none" w:sz="0" w:space="0" w:color="auto"/>
        <w:left w:val="none" w:sz="0" w:space="0" w:color="auto"/>
        <w:bottom w:val="none" w:sz="0" w:space="0" w:color="auto"/>
        <w:right w:val="none" w:sz="0" w:space="0" w:color="auto"/>
      </w:divBdr>
    </w:div>
    <w:div w:id="1308246589">
      <w:bodyDiv w:val="1"/>
      <w:marLeft w:val="0"/>
      <w:marRight w:val="0"/>
      <w:marTop w:val="0"/>
      <w:marBottom w:val="0"/>
      <w:divBdr>
        <w:top w:val="none" w:sz="0" w:space="0" w:color="auto"/>
        <w:left w:val="none" w:sz="0" w:space="0" w:color="auto"/>
        <w:bottom w:val="none" w:sz="0" w:space="0" w:color="auto"/>
        <w:right w:val="none" w:sz="0" w:space="0" w:color="auto"/>
      </w:divBdr>
    </w:div>
    <w:div w:id="1465930450">
      <w:bodyDiv w:val="1"/>
      <w:marLeft w:val="0"/>
      <w:marRight w:val="0"/>
      <w:marTop w:val="0"/>
      <w:marBottom w:val="0"/>
      <w:divBdr>
        <w:top w:val="none" w:sz="0" w:space="0" w:color="auto"/>
        <w:left w:val="none" w:sz="0" w:space="0" w:color="auto"/>
        <w:bottom w:val="none" w:sz="0" w:space="0" w:color="auto"/>
        <w:right w:val="none" w:sz="0" w:space="0" w:color="auto"/>
      </w:divBdr>
    </w:div>
    <w:div w:id="1607498275">
      <w:bodyDiv w:val="1"/>
      <w:marLeft w:val="0"/>
      <w:marRight w:val="0"/>
      <w:marTop w:val="0"/>
      <w:marBottom w:val="0"/>
      <w:divBdr>
        <w:top w:val="none" w:sz="0" w:space="0" w:color="auto"/>
        <w:left w:val="none" w:sz="0" w:space="0" w:color="auto"/>
        <w:bottom w:val="none" w:sz="0" w:space="0" w:color="auto"/>
        <w:right w:val="none" w:sz="0" w:space="0" w:color="auto"/>
      </w:divBdr>
    </w:div>
    <w:div w:id="1770001534">
      <w:bodyDiv w:val="1"/>
      <w:marLeft w:val="0"/>
      <w:marRight w:val="0"/>
      <w:marTop w:val="0"/>
      <w:marBottom w:val="0"/>
      <w:divBdr>
        <w:top w:val="none" w:sz="0" w:space="0" w:color="auto"/>
        <w:left w:val="none" w:sz="0" w:space="0" w:color="auto"/>
        <w:bottom w:val="none" w:sz="0" w:space="0" w:color="auto"/>
        <w:right w:val="none" w:sz="0" w:space="0" w:color="auto"/>
      </w:divBdr>
    </w:div>
    <w:div w:id="1828784119">
      <w:bodyDiv w:val="1"/>
      <w:marLeft w:val="0"/>
      <w:marRight w:val="0"/>
      <w:marTop w:val="0"/>
      <w:marBottom w:val="0"/>
      <w:divBdr>
        <w:top w:val="none" w:sz="0" w:space="0" w:color="auto"/>
        <w:left w:val="none" w:sz="0" w:space="0" w:color="auto"/>
        <w:bottom w:val="none" w:sz="0" w:space="0" w:color="auto"/>
        <w:right w:val="none" w:sz="0" w:space="0" w:color="auto"/>
      </w:divBdr>
    </w:div>
    <w:div w:id="1979608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200" TargetMode="External"/><Relationship Id="rId13" Type="http://schemas.openxmlformats.org/officeDocument/2006/relationships/image" Target="media/image5.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593E1-F6D8-47AC-B399-EA687AF1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AWG-28 Document Template.dotx</Template>
  <TotalTime>0</TotalTime>
  <Pages>1</Pages>
  <Words>2952</Words>
  <Characters>16832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rev</cp:lastModifiedBy>
  <cp:revision>1</cp:revision>
  <cp:lastPrinted>2004-07-28T02:14:00Z</cp:lastPrinted>
  <dcterms:created xsi:type="dcterms:W3CDTF">2022-05-22T13:06:00Z</dcterms:created>
  <dcterms:modified xsi:type="dcterms:W3CDTF">2022-05-22T13:06:00Z</dcterms:modified>
</cp:coreProperties>
</file>